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C90" w:rsidRDefault="00554C90" w:rsidP="00554C90">
      <w:pPr>
        <w:jc w:val="center"/>
        <w:rPr>
          <w:rFonts w:ascii="Arial" w:hAnsi="Arial" w:cs="Arial"/>
          <w:sz w:val="18"/>
          <w:szCs w:val="18"/>
        </w:rPr>
      </w:pPr>
      <w:r>
        <w:rPr>
          <w:rFonts w:ascii="Arial" w:hAnsi="Arial" w:cs="Arial"/>
          <w:sz w:val="18"/>
          <w:szCs w:val="18"/>
        </w:rPr>
        <w:t xml:space="preserve">Today’s key technical levels in equities, rates, currencies, and commodities. </w:t>
      </w:r>
    </w:p>
    <w:p w:rsidR="00554C90" w:rsidRDefault="004E2EDD" w:rsidP="00D95121">
      <w:pPr>
        <w:jc w:val="center"/>
        <w:rPr>
          <w:rFonts w:ascii="Arial" w:hAnsi="Arial" w:cs="Arial"/>
          <w:sz w:val="18"/>
          <w:szCs w:val="18"/>
        </w:rPr>
      </w:pPr>
      <w:r>
        <w:rPr>
          <w:rFonts w:ascii="Arial" w:hAnsi="Arial" w:cs="Arial"/>
          <w:sz w:val="18"/>
          <w:szCs w:val="18"/>
        </w:rPr>
        <w:t>For best results in Word, click View tab then click Web Layout</w:t>
      </w:r>
    </w:p>
    <w:p w:rsidR="00554C90" w:rsidRDefault="00554C90" w:rsidP="00554C90"/>
    <w:tbl>
      <w:tblPr>
        <w:tblW w:w="10024" w:type="dxa"/>
        <w:jc w:val="center"/>
        <w:tblCellSpacing w:w="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10024"/>
      </w:tblGrid>
      <w:tr w:rsidR="00554C90" w:rsidTr="007A7D72">
        <w:trPr>
          <w:trHeight w:val="12224"/>
          <w:tblCellSpacing w:w="0" w:type="dxa"/>
          <w:jc w:val="center"/>
        </w:trPr>
        <w:tc>
          <w:tcPr>
            <w:tcW w:w="10024" w:type="dxa"/>
            <w:tcBorders>
              <w:top w:val="nil"/>
              <w:left w:val="nil"/>
              <w:bottom w:val="nil"/>
              <w:right w:val="nil"/>
            </w:tcBorders>
            <w:shd w:val="clear" w:color="auto" w:fill="FFFFFF"/>
            <w:tcMar>
              <w:top w:w="150" w:type="dxa"/>
              <w:left w:w="300" w:type="dxa"/>
              <w:bottom w:w="0" w:type="dxa"/>
              <w:right w:w="300" w:type="dxa"/>
            </w:tcMar>
            <w:vAlign w:val="center"/>
          </w:tcPr>
          <w:p w:rsidR="00554C90" w:rsidRDefault="00554C90" w:rsidP="000A101F">
            <w:pPr>
              <w:spacing w:before="100" w:beforeAutospacing="1" w:after="100" w:afterAutospacing="1"/>
              <w:rPr>
                <w:rFonts w:ascii="Calibri Light" w:hAnsi="Calibri Light" w:cs="Calibri Light"/>
                <w:color w:val="000099"/>
                <w:sz w:val="22"/>
                <w:szCs w:val="22"/>
              </w:rPr>
            </w:pPr>
            <w:r>
              <w:rPr>
                <w:rFonts w:ascii="Calibri Light" w:hAnsi="Calibri Light" w:cs="Calibri Light"/>
                <w:noProof/>
                <w:color w:val="000099"/>
                <w:sz w:val="22"/>
                <w:szCs w:val="22"/>
              </w:rPr>
              <w:drawing>
                <wp:inline distT="0" distB="0" distL="0" distR="0" wp14:anchorId="32C0E2D8" wp14:editId="2CCB4B6A">
                  <wp:extent cx="5947024" cy="1724025"/>
                  <wp:effectExtent l="0" t="0" r="0" b="0"/>
                  <wp:docPr id="43" name="Picture 43" descr="cid:image002.jpg@01D3425F.D5C3C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425F.D5C3C66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79764" cy="1733516"/>
                          </a:xfrm>
                          <a:prstGeom prst="rect">
                            <a:avLst/>
                          </a:prstGeom>
                          <a:noFill/>
                          <a:ln>
                            <a:noFill/>
                          </a:ln>
                        </pic:spPr>
                      </pic:pic>
                    </a:graphicData>
                  </a:graphic>
                </wp:inline>
              </w:drawing>
            </w:r>
          </w:p>
          <w:p w:rsidR="00554C90" w:rsidRDefault="0021380E">
            <w:pPr>
              <w:jc w:val="center"/>
              <w:rPr>
                <w:rFonts w:ascii="Calibri" w:eastAsia="Times New Roman" w:hAnsi="Calibri" w:cs="Calibri"/>
                <w:b/>
                <w:bCs/>
                <w:color w:val="1F497D"/>
                <w:sz w:val="22"/>
                <w:szCs w:val="22"/>
              </w:rPr>
            </w:pPr>
            <w:r>
              <w:rPr>
                <w:rFonts w:ascii="Calibri" w:eastAsia="Times New Roman" w:hAnsi="Calibri" w:cs="Calibri"/>
                <w:b/>
                <w:bCs/>
                <w:color w:val="1F497D"/>
                <w:sz w:val="22"/>
                <w:szCs w:val="22"/>
              </w:rPr>
              <w:pict>
                <v:rect id="_x0000_i1025" style="width:450.55pt;height:.25pt" o:hrpct="915" o:hralign="center" o:hrstd="t" o:hrnoshade="t" o:hr="t" fillcolor="#323e4f" stroked="f"/>
              </w:pict>
            </w:r>
          </w:p>
          <w:p w:rsidR="00267D9A" w:rsidRDefault="00267D9A" w:rsidP="00044155">
            <w:pPr>
              <w:rPr>
                <w:rFonts w:ascii="Arial" w:hAnsi="Arial" w:cs="Arial"/>
                <w:sz w:val="22"/>
                <w:szCs w:val="22"/>
              </w:rPr>
            </w:pPr>
          </w:p>
          <w:p w:rsidR="00C01E19" w:rsidRPr="0021380E" w:rsidRDefault="0021380E" w:rsidP="00D71610">
            <w:pPr>
              <w:rPr>
                <w:rFonts w:ascii="Arial" w:hAnsi="Arial" w:cs="Arial"/>
                <w:color w:val="3B3838"/>
                <w:sz w:val="20"/>
                <w:szCs w:val="20"/>
              </w:rPr>
            </w:pPr>
            <w:r w:rsidRPr="0021380E">
              <w:rPr>
                <w:rFonts w:ascii="Arial" w:hAnsi="Arial" w:cs="Arial"/>
              </w:rPr>
              <w:t>Friday, February 2, 2018</w:t>
            </w:r>
            <w:bookmarkStart w:id="0" w:name="_GoBack"/>
            <w:bookmarkEnd w:id="0"/>
          </w:p>
          <w:p w:rsidR="00D71610" w:rsidRDefault="00D71610" w:rsidP="00044155">
            <w:pPr>
              <w:rPr>
                <w:rFonts w:ascii="Arial" w:hAnsi="Arial" w:cs="Arial"/>
                <w:b/>
                <w:bCs/>
                <w:sz w:val="22"/>
                <w:szCs w:val="22"/>
              </w:rPr>
            </w:pPr>
          </w:p>
          <w:p w:rsidR="00825E05" w:rsidRPr="007B538A" w:rsidRDefault="00B341EA" w:rsidP="008F1D0B">
            <w:pPr>
              <w:autoSpaceDE w:val="0"/>
              <w:autoSpaceDN w:val="0"/>
              <w:spacing w:before="100" w:beforeAutospacing="1" w:after="100" w:afterAutospacing="1"/>
              <w:rPr>
                <w:rFonts w:ascii="Arial" w:hAnsi="Arial" w:cs="Arial"/>
                <w:color w:val="3B3838"/>
                <w:sz w:val="32"/>
                <w:szCs w:val="32"/>
              </w:rPr>
            </w:pPr>
            <w:r w:rsidRPr="007B538A">
              <w:rPr>
                <w:rFonts w:ascii="Arial" w:hAnsi="Arial" w:cs="Arial"/>
                <w:color w:val="3B3838"/>
                <w:sz w:val="32"/>
                <w:szCs w:val="32"/>
              </w:rPr>
              <w:t xml:space="preserve">The Week in Review, What Can Derail Equities? </w:t>
            </w:r>
          </w:p>
          <w:p w:rsidR="002E42B1" w:rsidRDefault="00FA17C1" w:rsidP="008F1D0B">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It is pretty much understood that a weaker dollar is the goal of this administration. </w:t>
            </w:r>
            <w:r w:rsidR="002E42B1" w:rsidRPr="002E42B1">
              <w:rPr>
                <w:rFonts w:ascii="Arial" w:hAnsi="Arial" w:cs="Arial"/>
                <w:color w:val="3B3838"/>
                <w:sz w:val="20"/>
                <w:szCs w:val="20"/>
              </w:rPr>
              <w:t>PIMCO (</w:t>
            </w:r>
            <w:hyperlink r:id="rId7" w:history="1">
              <w:r w:rsidR="002E42B1" w:rsidRPr="002E42B1">
                <w:rPr>
                  <w:rStyle w:val="Hyperlink"/>
                  <w:rFonts w:ascii="Arial" w:hAnsi="Arial" w:cs="Arial"/>
                  <w:sz w:val="20"/>
                  <w:szCs w:val="20"/>
                </w:rPr>
                <w:t>LINK</w:t>
              </w:r>
            </w:hyperlink>
            <w:r w:rsidR="002E42B1" w:rsidRPr="002E42B1">
              <w:rPr>
                <w:rFonts w:ascii="Arial" w:hAnsi="Arial" w:cs="Arial"/>
                <w:color w:val="3B3838"/>
                <w:sz w:val="20"/>
                <w:szCs w:val="20"/>
              </w:rPr>
              <w:t xml:space="preserve">) </w:t>
            </w:r>
            <w:r>
              <w:rPr>
                <w:rFonts w:ascii="Arial" w:hAnsi="Arial" w:cs="Arial"/>
                <w:color w:val="3B3838"/>
                <w:sz w:val="20"/>
                <w:szCs w:val="20"/>
              </w:rPr>
              <w:t>wrote</w:t>
            </w:r>
            <w:r w:rsidR="002E42B1" w:rsidRPr="002E42B1">
              <w:rPr>
                <w:rFonts w:ascii="Arial" w:hAnsi="Arial" w:cs="Arial"/>
                <w:color w:val="3B3838"/>
                <w:sz w:val="20"/>
                <w:szCs w:val="20"/>
              </w:rPr>
              <w:t xml:space="preserve"> that the U.S. is fighting, and winning a “cold currency war.”  European Central Bank Executive Board member Benoit Coeure warned this week that volatility in foreign-exchange markets could lead to an “unwarranted tightening” of monetary policy that the bank would have to “reassess and consider.”  </w:t>
            </w:r>
            <w:r w:rsidR="002E42B1">
              <w:rPr>
                <w:rFonts w:ascii="Arial" w:hAnsi="Arial" w:cs="Arial"/>
                <w:color w:val="3B3838"/>
                <w:sz w:val="20"/>
                <w:szCs w:val="20"/>
              </w:rPr>
              <w:t xml:space="preserve"> For now President Trump is having his way, as higher US rates have not lifted the dollar. </w:t>
            </w:r>
            <w:r w:rsidR="007A10D4">
              <w:rPr>
                <w:rFonts w:ascii="Arial" w:hAnsi="Arial" w:cs="Arial"/>
                <w:color w:val="3B3838"/>
                <w:sz w:val="20"/>
                <w:szCs w:val="20"/>
              </w:rPr>
              <w:t xml:space="preserve">But, how low can it go before we really hear it from China?  This chart is the US$/Chinese </w:t>
            </w:r>
            <w:r w:rsidR="00172052">
              <w:rPr>
                <w:rFonts w:ascii="Arial" w:hAnsi="Arial" w:cs="Arial"/>
                <w:color w:val="3B3838"/>
                <w:sz w:val="20"/>
                <w:szCs w:val="20"/>
              </w:rPr>
              <w:t>Renminbi</w:t>
            </w:r>
            <w:r w:rsidR="007A10D4">
              <w:rPr>
                <w:rFonts w:ascii="Arial" w:hAnsi="Arial" w:cs="Arial"/>
                <w:color w:val="3B3838"/>
                <w:sz w:val="20"/>
                <w:szCs w:val="20"/>
              </w:rPr>
              <w:t xml:space="preserve"> Offshore or CNH (futures </w:t>
            </w:r>
            <w:r w:rsidR="00172052">
              <w:rPr>
                <w:rFonts w:ascii="Arial" w:hAnsi="Arial" w:cs="Arial"/>
                <w:color w:val="3B3838"/>
                <w:sz w:val="20"/>
                <w:szCs w:val="20"/>
              </w:rPr>
              <w:t>shown</w:t>
            </w:r>
            <w:r w:rsidR="007A10D4">
              <w:rPr>
                <w:rFonts w:ascii="Arial" w:hAnsi="Arial" w:cs="Arial"/>
                <w:color w:val="3B3838"/>
                <w:sz w:val="20"/>
                <w:szCs w:val="20"/>
              </w:rPr>
              <w:t>)</w:t>
            </w:r>
            <w:r w:rsidR="00172052">
              <w:rPr>
                <w:rFonts w:ascii="Arial" w:hAnsi="Arial" w:cs="Arial"/>
                <w:color w:val="3B3838"/>
                <w:sz w:val="20"/>
                <w:szCs w:val="20"/>
              </w:rPr>
              <w:t>, and</w:t>
            </w:r>
            <w:r w:rsidR="007A10D4" w:rsidRPr="007A10D4">
              <w:rPr>
                <w:rFonts w:ascii="Arial" w:hAnsi="Arial" w:cs="Arial"/>
                <w:color w:val="3B3838"/>
                <w:sz w:val="20"/>
                <w:szCs w:val="20"/>
              </w:rPr>
              <w:t xml:space="preserve"> it is back to where China devalued </w:t>
            </w:r>
            <w:r w:rsidR="007A10D4">
              <w:rPr>
                <w:rFonts w:ascii="Arial" w:hAnsi="Arial" w:cs="Arial"/>
                <w:color w:val="3B3838"/>
                <w:sz w:val="20"/>
                <w:szCs w:val="20"/>
              </w:rPr>
              <w:t xml:space="preserve">their currency </w:t>
            </w:r>
            <w:r w:rsidR="007A10D4" w:rsidRPr="007A10D4">
              <w:rPr>
                <w:rFonts w:ascii="Arial" w:hAnsi="Arial" w:cs="Arial"/>
                <w:color w:val="3B3838"/>
                <w:sz w:val="20"/>
                <w:szCs w:val="20"/>
              </w:rPr>
              <w:t>back in 2015</w:t>
            </w:r>
            <w:r w:rsidR="007A10D4">
              <w:rPr>
                <w:rFonts w:ascii="Arial" w:hAnsi="Arial" w:cs="Arial"/>
                <w:color w:val="3B3838"/>
                <w:sz w:val="20"/>
                <w:szCs w:val="20"/>
              </w:rPr>
              <w:t>.  That led to a 20bp rally in 10 year yield a</w:t>
            </w:r>
            <w:r w:rsidR="004B5355">
              <w:rPr>
                <w:rFonts w:ascii="Arial" w:hAnsi="Arial" w:cs="Arial"/>
                <w:color w:val="3B3838"/>
                <w:sz w:val="20"/>
                <w:szCs w:val="20"/>
              </w:rPr>
              <w:t xml:space="preserve">nd an -11% drop in the S&amp;P.  On Monday </w:t>
            </w:r>
            <w:r w:rsidR="004B5355" w:rsidRPr="004B5355">
              <w:rPr>
                <w:rFonts w:ascii="Arial" w:hAnsi="Arial" w:cs="Arial"/>
                <w:color w:val="3B3838"/>
                <w:sz w:val="20"/>
                <w:szCs w:val="20"/>
              </w:rPr>
              <w:t>a</w:t>
            </w:r>
            <w:r w:rsidR="004B5355" w:rsidRPr="004B5355">
              <w:rPr>
                <w:rFonts w:ascii="Arial" w:eastAsia="Calibri" w:hAnsi="Arial" w:cs="Arial"/>
                <w:bCs/>
                <w:color w:val="3B3838"/>
                <w:sz w:val="20"/>
                <w:szCs w:val="20"/>
              </w:rPr>
              <w:t xml:space="preserve">n official </w:t>
            </w:r>
            <w:r w:rsidR="004B5355">
              <w:rPr>
                <w:rFonts w:ascii="Arial" w:eastAsia="Calibri" w:hAnsi="Arial" w:cs="Arial"/>
                <w:bCs/>
                <w:color w:val="3B3838"/>
                <w:sz w:val="20"/>
                <w:szCs w:val="20"/>
              </w:rPr>
              <w:t>from</w:t>
            </w:r>
            <w:r w:rsidR="004B5355" w:rsidRPr="004B5355">
              <w:rPr>
                <w:rFonts w:ascii="Arial" w:eastAsia="Calibri" w:hAnsi="Arial" w:cs="Arial"/>
                <w:bCs/>
                <w:color w:val="3B3838"/>
                <w:sz w:val="20"/>
                <w:szCs w:val="20"/>
              </w:rPr>
              <w:t xml:space="preserve"> China's National Development and Reform Commission</w:t>
            </w:r>
            <w:r w:rsidR="004B5355" w:rsidRPr="004B5355">
              <w:rPr>
                <w:rFonts w:ascii="Arial" w:eastAsia="Calibri" w:hAnsi="Arial" w:cs="Arial"/>
                <w:color w:val="3B3838"/>
                <w:sz w:val="20"/>
                <w:szCs w:val="20"/>
              </w:rPr>
              <w:t xml:space="preserve"> wrote that a black swan or grey rhino (high-impact events) were </w:t>
            </w:r>
            <w:r w:rsidR="004B5355">
              <w:rPr>
                <w:rFonts w:ascii="Arial" w:eastAsia="Calibri" w:hAnsi="Arial" w:cs="Arial"/>
                <w:color w:val="3B3838"/>
                <w:sz w:val="20"/>
                <w:szCs w:val="20"/>
              </w:rPr>
              <w:t xml:space="preserve">likely to take place this year </w:t>
            </w:r>
            <w:r w:rsidR="004B5355" w:rsidRPr="004B5355">
              <w:rPr>
                <w:rFonts w:ascii="Arial" w:eastAsia="Calibri" w:hAnsi="Arial" w:cs="Arial"/>
                <w:color w:val="3B3838"/>
                <w:sz w:val="20"/>
                <w:szCs w:val="20"/>
              </w:rPr>
              <w:t xml:space="preserve">- </w:t>
            </w:r>
            <w:r w:rsidR="00172052" w:rsidRPr="004B5355">
              <w:rPr>
                <w:rFonts w:ascii="Arial" w:eastAsia="Calibri" w:hAnsi="Arial" w:cs="Arial"/>
                <w:color w:val="3B3838"/>
                <w:sz w:val="20"/>
                <w:szCs w:val="20"/>
              </w:rPr>
              <w:t>Reuter’s</w:t>
            </w:r>
            <w:r w:rsidR="004B5355" w:rsidRPr="004B5355">
              <w:rPr>
                <w:rFonts w:ascii="Arial" w:eastAsia="Calibri" w:hAnsi="Arial" w:cs="Arial"/>
                <w:color w:val="3B3838"/>
                <w:sz w:val="20"/>
                <w:szCs w:val="20"/>
              </w:rPr>
              <w:t xml:space="preserve"> </w:t>
            </w:r>
            <w:hyperlink r:id="rId8" w:history="1">
              <w:r w:rsidR="004B5355" w:rsidRPr="004B5355">
                <w:rPr>
                  <w:rFonts w:ascii="Arial" w:eastAsia="Calibri" w:hAnsi="Arial" w:cs="Arial"/>
                  <w:color w:val="0000FF"/>
                  <w:sz w:val="20"/>
                  <w:szCs w:val="20"/>
                  <w:u w:val="single"/>
                </w:rPr>
                <w:t>link</w:t>
              </w:r>
            </w:hyperlink>
            <w:r w:rsidR="004B5355" w:rsidRPr="004B5355">
              <w:rPr>
                <w:rFonts w:ascii="Arial" w:eastAsia="Calibri" w:hAnsi="Arial" w:cs="Arial"/>
                <w:color w:val="3B3838"/>
                <w:sz w:val="20"/>
                <w:szCs w:val="20"/>
              </w:rPr>
              <w:t>. </w:t>
            </w:r>
            <w:r w:rsidR="004B5355">
              <w:rPr>
                <w:rFonts w:ascii="Arial" w:eastAsia="Calibri" w:hAnsi="Arial" w:cs="Arial"/>
                <w:color w:val="3B3838"/>
                <w:sz w:val="20"/>
                <w:szCs w:val="20"/>
              </w:rPr>
              <w:t xml:space="preserve">The Shanghai Composite Index has fallen roughly -4% from Monday’s high.  If CNH continues to decline next week, we need to be on guard for more rhetoric from China that could potentially spook equities. </w:t>
            </w:r>
          </w:p>
          <w:p w:rsidR="002E42B1" w:rsidRDefault="00FA17C1" w:rsidP="008F1D0B">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0E18FE46" wp14:editId="6FDF71F5">
                  <wp:extent cx="5943600" cy="281368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813685"/>
                          </a:xfrm>
                          <a:prstGeom prst="rect">
                            <a:avLst/>
                          </a:prstGeom>
                        </pic:spPr>
                      </pic:pic>
                    </a:graphicData>
                  </a:graphic>
                </wp:inline>
              </w:drawing>
            </w:r>
          </w:p>
          <w:p w:rsidR="002E42B1" w:rsidRPr="002E42B1" w:rsidRDefault="002E42B1" w:rsidP="002E42B1">
            <w:pPr>
              <w:autoSpaceDE w:val="0"/>
              <w:autoSpaceDN w:val="0"/>
              <w:spacing w:before="100" w:beforeAutospacing="1" w:after="100" w:afterAutospacing="1"/>
              <w:rPr>
                <w:rFonts w:ascii="Arial" w:hAnsi="Arial" w:cs="Arial"/>
                <w:color w:val="3B3838"/>
                <w:sz w:val="20"/>
                <w:szCs w:val="20"/>
              </w:rPr>
            </w:pPr>
            <w:r w:rsidRPr="002E42B1">
              <w:rPr>
                <w:rFonts w:ascii="Arial" w:hAnsi="Arial" w:cs="Arial"/>
                <w:color w:val="3B3838"/>
                <w:sz w:val="20"/>
                <w:szCs w:val="20"/>
              </w:rPr>
              <w:t xml:space="preserve">Immediately after the November ’16 US Presidential election small caps (IWM) outperformed </w:t>
            </w:r>
            <w:r w:rsidR="00172052">
              <w:rPr>
                <w:rFonts w:ascii="Arial" w:hAnsi="Arial" w:cs="Arial"/>
                <w:color w:val="3B3838"/>
                <w:sz w:val="20"/>
                <w:szCs w:val="20"/>
              </w:rPr>
              <w:t>sharply relative to the S&amp;P 500</w:t>
            </w:r>
            <w:r w:rsidRPr="002E42B1">
              <w:rPr>
                <w:rFonts w:ascii="Arial" w:hAnsi="Arial" w:cs="Arial"/>
                <w:color w:val="3B3838"/>
                <w:sz w:val="20"/>
                <w:szCs w:val="20"/>
              </w:rPr>
              <w:t xml:space="preserve">. Then in the first half of 2017 small caps underperformed.  </w:t>
            </w:r>
            <w:r w:rsidR="00172052">
              <w:rPr>
                <w:rFonts w:ascii="Arial" w:hAnsi="Arial" w:cs="Arial"/>
                <w:color w:val="3B3838"/>
                <w:sz w:val="20"/>
                <w:szCs w:val="20"/>
              </w:rPr>
              <w:t>What'</w:t>
            </w:r>
            <w:r w:rsidR="00172052" w:rsidRPr="002E42B1">
              <w:rPr>
                <w:rFonts w:ascii="Arial" w:hAnsi="Arial" w:cs="Arial"/>
                <w:color w:val="3B3838"/>
                <w:sz w:val="20"/>
                <w:szCs w:val="20"/>
              </w:rPr>
              <w:t>s interesting is</w:t>
            </w:r>
            <w:r w:rsidR="00172052">
              <w:rPr>
                <w:rFonts w:ascii="Arial" w:hAnsi="Arial" w:cs="Arial"/>
                <w:color w:val="3B3838"/>
                <w:sz w:val="20"/>
                <w:szCs w:val="20"/>
              </w:rPr>
              <w:t xml:space="preserve"> </w:t>
            </w:r>
            <w:r w:rsidR="00172052" w:rsidRPr="002E42B1">
              <w:rPr>
                <w:rFonts w:ascii="Arial" w:hAnsi="Arial" w:cs="Arial"/>
                <w:color w:val="3B3838"/>
                <w:sz w:val="20"/>
                <w:szCs w:val="20"/>
              </w:rPr>
              <w:t xml:space="preserve">the .618 Fibonacci retracement </w:t>
            </w:r>
            <w:r w:rsidR="00172052">
              <w:rPr>
                <w:rFonts w:ascii="Arial" w:hAnsi="Arial" w:cs="Arial"/>
                <w:color w:val="3B3838"/>
                <w:sz w:val="20"/>
                <w:szCs w:val="20"/>
              </w:rPr>
              <w:t>in</w:t>
            </w:r>
            <w:r w:rsidR="00172052" w:rsidRPr="002E42B1">
              <w:rPr>
                <w:rFonts w:ascii="Arial" w:hAnsi="Arial" w:cs="Arial"/>
                <w:color w:val="3B3838"/>
                <w:sz w:val="20"/>
                <w:szCs w:val="20"/>
              </w:rPr>
              <w:t xml:space="preserve"> IWM vs SPY is also the same spot as that Nov ’16 turning point. </w:t>
            </w:r>
            <w:r w:rsidRPr="002E42B1">
              <w:rPr>
                <w:rFonts w:ascii="Arial" w:hAnsi="Arial" w:cs="Arial"/>
                <w:color w:val="3B3838"/>
                <w:sz w:val="20"/>
                <w:szCs w:val="20"/>
              </w:rPr>
              <w:t>And, it held nicely in August for a bounce</w:t>
            </w:r>
            <w:r w:rsidR="00B341EA">
              <w:rPr>
                <w:rFonts w:ascii="Arial" w:hAnsi="Arial" w:cs="Arial"/>
                <w:color w:val="3B3838"/>
                <w:sz w:val="20"/>
                <w:szCs w:val="20"/>
              </w:rPr>
              <w:t xml:space="preserve">. Well, we </w:t>
            </w:r>
            <w:r w:rsidRPr="002E42B1">
              <w:rPr>
                <w:rFonts w:ascii="Arial" w:hAnsi="Arial" w:cs="Arial"/>
                <w:color w:val="3B3838"/>
                <w:sz w:val="20"/>
                <w:szCs w:val="20"/>
              </w:rPr>
              <w:t>are back there again this week</w:t>
            </w:r>
            <w:r w:rsidR="00B341EA">
              <w:rPr>
                <w:rFonts w:ascii="Arial" w:hAnsi="Arial" w:cs="Arial"/>
                <w:color w:val="3B3838"/>
                <w:sz w:val="20"/>
                <w:szCs w:val="20"/>
              </w:rPr>
              <w:t xml:space="preserve"> as small caps have outperformed this year</w:t>
            </w:r>
            <w:r w:rsidRPr="002E42B1">
              <w:rPr>
                <w:rFonts w:ascii="Arial" w:hAnsi="Arial" w:cs="Arial"/>
                <w:color w:val="3B3838"/>
                <w:sz w:val="20"/>
                <w:szCs w:val="20"/>
              </w:rPr>
              <w:t>. This will be key for the week ahead.  If IWM/SPY holds, we will likely see rotation higher.  If it breaks, smal</w:t>
            </w:r>
            <w:r w:rsidR="00B341EA">
              <w:rPr>
                <w:rFonts w:ascii="Arial" w:hAnsi="Arial" w:cs="Arial"/>
                <w:color w:val="3B3838"/>
                <w:sz w:val="20"/>
                <w:szCs w:val="20"/>
              </w:rPr>
              <w:t xml:space="preserve">l caps </w:t>
            </w:r>
            <w:r w:rsidR="008E2089">
              <w:rPr>
                <w:rFonts w:ascii="Arial" w:hAnsi="Arial" w:cs="Arial"/>
                <w:color w:val="3B3838"/>
                <w:sz w:val="20"/>
                <w:szCs w:val="20"/>
              </w:rPr>
              <w:t>will likely</w:t>
            </w:r>
            <w:r w:rsidR="00B341EA">
              <w:rPr>
                <w:rFonts w:ascii="Arial" w:hAnsi="Arial" w:cs="Arial"/>
                <w:color w:val="3B3838"/>
                <w:sz w:val="20"/>
                <w:szCs w:val="20"/>
              </w:rPr>
              <w:t xml:space="preserve"> lead the </w:t>
            </w:r>
            <w:r w:rsidR="008E2089">
              <w:rPr>
                <w:rFonts w:ascii="Arial" w:hAnsi="Arial" w:cs="Arial"/>
                <w:color w:val="3B3838"/>
                <w:sz w:val="20"/>
                <w:szCs w:val="20"/>
              </w:rPr>
              <w:t>other indices</w:t>
            </w:r>
            <w:r w:rsidR="00B341EA">
              <w:rPr>
                <w:rFonts w:ascii="Arial" w:hAnsi="Arial" w:cs="Arial"/>
                <w:color w:val="3B3838"/>
                <w:sz w:val="20"/>
                <w:szCs w:val="20"/>
              </w:rPr>
              <w:t xml:space="preserve"> lower. </w:t>
            </w:r>
          </w:p>
          <w:p w:rsidR="002E42B1" w:rsidRPr="002E42B1" w:rsidRDefault="002E42B1" w:rsidP="002E42B1">
            <w:pPr>
              <w:autoSpaceDE w:val="0"/>
              <w:autoSpaceDN w:val="0"/>
              <w:spacing w:before="100" w:beforeAutospacing="1" w:after="100" w:afterAutospacing="1"/>
              <w:rPr>
                <w:rFonts w:ascii="Arial" w:hAnsi="Arial" w:cs="Arial"/>
                <w:color w:val="3B3838"/>
                <w:sz w:val="20"/>
                <w:szCs w:val="20"/>
              </w:rPr>
            </w:pPr>
            <w:r w:rsidRPr="002E42B1">
              <w:rPr>
                <w:rFonts w:ascii="Arial" w:hAnsi="Arial" w:cs="Arial"/>
                <w:noProof/>
                <w:color w:val="3B3838"/>
                <w:sz w:val="20"/>
                <w:szCs w:val="20"/>
              </w:rPr>
              <w:drawing>
                <wp:inline distT="0" distB="0" distL="0" distR="0" wp14:anchorId="6A23BC7D" wp14:editId="7802E43E">
                  <wp:extent cx="5943600" cy="26428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943600" cy="2642870"/>
                          </a:xfrm>
                          <a:prstGeom prst="rect">
                            <a:avLst/>
                          </a:prstGeom>
                        </pic:spPr>
                      </pic:pic>
                    </a:graphicData>
                  </a:graphic>
                </wp:inline>
              </w:drawing>
            </w:r>
          </w:p>
          <w:p w:rsidR="002E42B1" w:rsidRDefault="008B0490" w:rsidP="008F1D0B">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Rotational plays have been the theme for most of 2016 and all of 2017 which has been bullish.  It will be interesting to see if this continues this year.  If not, it will likely be a bearish signal. With higher interest rates one rotational play would probably be into banks and financials. </w:t>
            </w:r>
            <w:r w:rsidR="008E2089">
              <w:rPr>
                <w:rFonts w:ascii="Arial" w:hAnsi="Arial" w:cs="Arial"/>
                <w:color w:val="3B3838"/>
                <w:sz w:val="20"/>
                <w:szCs w:val="20"/>
              </w:rPr>
              <w:t>The S&amp;P Bank ETF relative to the S&amp;P 500 Index shows a similar patter as IWM/SPY in that the .618 retracement held perfectly. Now we are looking for a momentum breakout of either side of the triangle formation. Banks outperforming the broader index from here would likely mean that the yield curve starts to steepen</w:t>
            </w:r>
            <w:r w:rsidR="0081798D">
              <w:rPr>
                <w:rFonts w:ascii="Arial" w:hAnsi="Arial" w:cs="Arial"/>
                <w:color w:val="3B3838"/>
                <w:sz w:val="20"/>
                <w:szCs w:val="20"/>
              </w:rPr>
              <w:t>. Bear steepening might just be a headwind for stocks</w:t>
            </w:r>
            <w:r w:rsidR="00B30D16">
              <w:rPr>
                <w:rFonts w:ascii="Arial" w:hAnsi="Arial" w:cs="Arial"/>
                <w:color w:val="3B3838"/>
                <w:sz w:val="20"/>
                <w:szCs w:val="20"/>
              </w:rPr>
              <w:t xml:space="preserve"> </w:t>
            </w:r>
            <w:r>
              <w:rPr>
                <w:rFonts w:ascii="Arial" w:hAnsi="Arial" w:cs="Arial"/>
                <w:color w:val="3B3838"/>
                <w:sz w:val="20"/>
                <w:szCs w:val="20"/>
              </w:rPr>
              <w:t xml:space="preserve">overall </w:t>
            </w:r>
            <w:r w:rsidR="00B30D16">
              <w:rPr>
                <w:rFonts w:ascii="Arial" w:hAnsi="Arial" w:cs="Arial"/>
                <w:color w:val="3B3838"/>
                <w:sz w:val="20"/>
                <w:szCs w:val="20"/>
              </w:rPr>
              <w:t xml:space="preserve">if the 30 year yield </w:t>
            </w:r>
            <w:r>
              <w:rPr>
                <w:rFonts w:ascii="Arial" w:hAnsi="Arial" w:cs="Arial"/>
                <w:color w:val="3B3838"/>
                <w:sz w:val="20"/>
                <w:szCs w:val="20"/>
              </w:rPr>
              <w:t>rise</w:t>
            </w:r>
            <w:r w:rsidR="00B30D16">
              <w:rPr>
                <w:rFonts w:ascii="Arial" w:hAnsi="Arial" w:cs="Arial"/>
                <w:color w:val="3B3838"/>
                <w:sz w:val="20"/>
                <w:szCs w:val="20"/>
              </w:rPr>
              <w:t>s too quickly</w:t>
            </w:r>
            <w:r w:rsidR="0081798D">
              <w:rPr>
                <w:rFonts w:ascii="Arial" w:hAnsi="Arial" w:cs="Arial"/>
                <w:color w:val="3B3838"/>
                <w:sz w:val="20"/>
                <w:szCs w:val="20"/>
              </w:rPr>
              <w:t>.</w:t>
            </w:r>
          </w:p>
          <w:p w:rsidR="002E42B1" w:rsidRDefault="002E42B1" w:rsidP="008F1D0B">
            <w:pPr>
              <w:autoSpaceDE w:val="0"/>
              <w:autoSpaceDN w:val="0"/>
              <w:spacing w:before="100" w:beforeAutospacing="1" w:after="100" w:afterAutospacing="1"/>
              <w:rPr>
                <w:rFonts w:ascii="Arial" w:hAnsi="Arial" w:cs="Arial"/>
                <w:color w:val="3B3838"/>
                <w:sz w:val="20"/>
                <w:szCs w:val="20"/>
              </w:rPr>
            </w:pPr>
            <w:r>
              <w:rPr>
                <w:rFonts w:ascii="Arial" w:hAnsi="Arial" w:cs="Arial"/>
                <w:noProof/>
                <w:color w:val="3B3838"/>
                <w:sz w:val="20"/>
                <w:szCs w:val="20"/>
              </w:rPr>
              <w:drawing>
                <wp:inline distT="0" distB="0" distL="0" distR="0" wp14:anchorId="21FB20C0" wp14:editId="3A2433C0">
                  <wp:extent cx="5944235" cy="26581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2658110"/>
                          </a:xfrm>
                          <a:prstGeom prst="rect">
                            <a:avLst/>
                          </a:prstGeom>
                          <a:noFill/>
                        </pic:spPr>
                      </pic:pic>
                    </a:graphicData>
                  </a:graphic>
                </wp:inline>
              </w:drawing>
            </w:r>
          </w:p>
          <w:p w:rsidR="00B341EA" w:rsidRPr="00B341EA" w:rsidRDefault="00B341EA" w:rsidP="00B341EA">
            <w:pPr>
              <w:autoSpaceDE w:val="0"/>
              <w:autoSpaceDN w:val="0"/>
              <w:spacing w:before="100" w:beforeAutospacing="1" w:after="100" w:afterAutospacing="1"/>
              <w:rPr>
                <w:rFonts w:ascii="Arial" w:hAnsi="Arial" w:cs="Arial"/>
                <w:color w:val="3B3838"/>
                <w:sz w:val="20"/>
                <w:szCs w:val="20"/>
              </w:rPr>
            </w:pPr>
            <w:r w:rsidRPr="00B341EA">
              <w:rPr>
                <w:rFonts w:ascii="Arial" w:hAnsi="Arial" w:cs="Arial"/>
                <w:color w:val="3B3838"/>
                <w:sz w:val="20"/>
                <w:szCs w:val="20"/>
              </w:rPr>
              <w:t xml:space="preserve">In December the 5 year note future broke its 200 week moving average for the first time since August of 2007. Then in the second week of </w:t>
            </w:r>
            <w:r w:rsidR="00172052" w:rsidRPr="00B341EA">
              <w:rPr>
                <w:rFonts w:ascii="Arial" w:hAnsi="Arial" w:cs="Arial"/>
                <w:color w:val="3B3838"/>
                <w:sz w:val="20"/>
                <w:szCs w:val="20"/>
              </w:rPr>
              <w:t>January</w:t>
            </w:r>
            <w:r w:rsidRPr="00B341EA">
              <w:rPr>
                <w:rFonts w:ascii="Arial" w:hAnsi="Arial" w:cs="Arial"/>
                <w:color w:val="3B3838"/>
                <w:sz w:val="20"/>
                <w:szCs w:val="20"/>
              </w:rPr>
              <w:t xml:space="preserve"> the 10 year future broke its 200 week.  </w:t>
            </w:r>
            <w:r w:rsidR="00172052" w:rsidRPr="00B341EA">
              <w:rPr>
                <w:rFonts w:ascii="Arial" w:hAnsi="Arial" w:cs="Arial"/>
                <w:color w:val="3B3838"/>
                <w:sz w:val="20"/>
                <w:szCs w:val="20"/>
              </w:rPr>
              <w:t xml:space="preserve">Once broken, neither </w:t>
            </w:r>
            <w:r w:rsidR="00172052">
              <w:rPr>
                <w:rFonts w:ascii="Arial" w:hAnsi="Arial" w:cs="Arial"/>
                <w:color w:val="3B3838"/>
                <w:sz w:val="20"/>
                <w:szCs w:val="20"/>
              </w:rPr>
              <w:t>was</w:t>
            </w:r>
            <w:r w:rsidR="00172052" w:rsidRPr="00B341EA">
              <w:rPr>
                <w:rFonts w:ascii="Arial" w:hAnsi="Arial" w:cs="Arial"/>
                <w:color w:val="3B3838"/>
                <w:sz w:val="20"/>
                <w:szCs w:val="20"/>
              </w:rPr>
              <w:t xml:space="preserve"> able to trade back above, and have been leaking ever since.  </w:t>
            </w:r>
            <w:r w:rsidRPr="00B341EA">
              <w:rPr>
                <w:rFonts w:ascii="Arial" w:hAnsi="Arial" w:cs="Arial"/>
                <w:color w:val="3B3838"/>
                <w:sz w:val="20"/>
                <w:szCs w:val="20"/>
              </w:rPr>
              <w:t xml:space="preserve">This week, the 30 year future is breaking its 200 week moving average and as you can see from the </w:t>
            </w:r>
            <w:r w:rsidR="00172052" w:rsidRPr="00B341EA">
              <w:rPr>
                <w:rFonts w:ascii="Arial" w:hAnsi="Arial" w:cs="Arial"/>
                <w:color w:val="3B3838"/>
                <w:sz w:val="20"/>
                <w:szCs w:val="20"/>
              </w:rPr>
              <w:t>chart;</w:t>
            </w:r>
            <w:r w:rsidRPr="00B341EA">
              <w:rPr>
                <w:rFonts w:ascii="Arial" w:hAnsi="Arial" w:cs="Arial"/>
                <w:color w:val="3B3838"/>
                <w:sz w:val="20"/>
                <w:szCs w:val="20"/>
              </w:rPr>
              <w:t xml:space="preserve"> this has been very pivotal support over the last few years. We can expect similar downside momentum in the 30 year, just like the 5 and 10.   </w:t>
            </w:r>
          </w:p>
          <w:p w:rsidR="00B341EA" w:rsidRPr="00B341EA" w:rsidRDefault="00B341EA" w:rsidP="00B341EA">
            <w:pPr>
              <w:autoSpaceDE w:val="0"/>
              <w:autoSpaceDN w:val="0"/>
              <w:spacing w:before="100" w:beforeAutospacing="1" w:after="100" w:afterAutospacing="1"/>
              <w:rPr>
                <w:rFonts w:ascii="Arial" w:hAnsi="Arial" w:cs="Arial"/>
                <w:color w:val="3B3838"/>
                <w:sz w:val="20"/>
                <w:szCs w:val="20"/>
              </w:rPr>
            </w:pPr>
            <w:r w:rsidRPr="00B341EA">
              <w:rPr>
                <w:rFonts w:ascii="Arial" w:hAnsi="Arial" w:cs="Arial"/>
                <w:noProof/>
                <w:color w:val="3B3838"/>
                <w:sz w:val="20"/>
                <w:szCs w:val="20"/>
              </w:rPr>
              <w:drawing>
                <wp:inline distT="0" distB="0" distL="0" distR="0" wp14:anchorId="19E229F7" wp14:editId="14709AB6">
                  <wp:extent cx="5943600" cy="73412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943600" cy="7341235"/>
                          </a:xfrm>
                          <a:prstGeom prst="rect">
                            <a:avLst/>
                          </a:prstGeom>
                        </pic:spPr>
                      </pic:pic>
                    </a:graphicData>
                  </a:graphic>
                </wp:inline>
              </w:drawing>
            </w:r>
          </w:p>
          <w:p w:rsidR="00B341EA" w:rsidRPr="00B341EA" w:rsidRDefault="00B341EA" w:rsidP="00B341EA">
            <w:pPr>
              <w:autoSpaceDE w:val="0"/>
              <w:autoSpaceDN w:val="0"/>
              <w:spacing w:before="100" w:beforeAutospacing="1" w:after="100" w:afterAutospacing="1"/>
              <w:rPr>
                <w:rFonts w:ascii="Arial" w:hAnsi="Arial" w:cs="Arial"/>
                <w:color w:val="3B3838"/>
                <w:sz w:val="20"/>
                <w:szCs w:val="20"/>
              </w:rPr>
            </w:pPr>
            <w:r w:rsidRPr="00B341EA">
              <w:rPr>
                <w:rFonts w:ascii="Arial" w:hAnsi="Arial" w:cs="Arial"/>
                <w:color w:val="3B3838"/>
                <w:sz w:val="20"/>
                <w:szCs w:val="20"/>
              </w:rPr>
              <w:t>For most of 2017 gold and 10 year futures traded directionally in tandem.  Then in mid-December they began to diverge.  What happened?  Technically the TY vs Gold pair hit a pivotal resistance level at the .786 retracement</w:t>
            </w:r>
            <w:r w:rsidR="00B30D16">
              <w:rPr>
                <w:rFonts w:ascii="Arial" w:hAnsi="Arial" w:cs="Arial"/>
                <w:color w:val="3B3838"/>
                <w:sz w:val="20"/>
                <w:szCs w:val="20"/>
              </w:rPr>
              <w:t xml:space="preserve"> (see chart two below)</w:t>
            </w:r>
            <w:r w:rsidRPr="00B341EA">
              <w:rPr>
                <w:rFonts w:ascii="Arial" w:hAnsi="Arial" w:cs="Arial"/>
                <w:color w:val="3B3838"/>
                <w:sz w:val="20"/>
                <w:szCs w:val="20"/>
              </w:rPr>
              <w:t>.  I like to use the .786’s as potential reversal levels and it certainly worked here.  The weaker dollar has been an influence for sure, especially the dollar vs China’s Renminbi (CNH).</w:t>
            </w:r>
          </w:p>
          <w:p w:rsidR="00B341EA" w:rsidRDefault="00B341EA" w:rsidP="00B341EA">
            <w:pPr>
              <w:autoSpaceDE w:val="0"/>
              <w:autoSpaceDN w:val="0"/>
              <w:spacing w:before="100" w:beforeAutospacing="1" w:after="100" w:afterAutospacing="1"/>
              <w:rPr>
                <w:rFonts w:ascii="Arial" w:hAnsi="Arial" w:cs="Arial"/>
                <w:color w:val="3B3838"/>
                <w:sz w:val="20"/>
                <w:szCs w:val="20"/>
              </w:rPr>
            </w:pPr>
            <w:r w:rsidRPr="00B341EA">
              <w:rPr>
                <w:rFonts w:ascii="Arial" w:hAnsi="Arial" w:cs="Arial"/>
                <w:noProof/>
                <w:color w:val="3B3838"/>
                <w:sz w:val="20"/>
                <w:szCs w:val="20"/>
              </w:rPr>
              <w:drawing>
                <wp:inline distT="0" distB="0" distL="0" distR="0" wp14:anchorId="3EEBF183" wp14:editId="7C9D0DAC">
                  <wp:extent cx="5943600" cy="5848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943600" cy="5848350"/>
                          </a:xfrm>
                          <a:prstGeom prst="rect">
                            <a:avLst/>
                          </a:prstGeom>
                        </pic:spPr>
                      </pic:pic>
                    </a:graphicData>
                  </a:graphic>
                </wp:inline>
              </w:drawing>
            </w:r>
          </w:p>
          <w:p w:rsidR="0052626C" w:rsidRDefault="0052626C" w:rsidP="00B341EA">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This chart displays the passive investment strategy using 30 year futures and E-Mini SP. Being long both bonds and </w:t>
            </w:r>
            <w:r w:rsidR="008B0490">
              <w:rPr>
                <w:rFonts w:ascii="Arial" w:hAnsi="Arial" w:cs="Arial"/>
                <w:color w:val="3B3838"/>
                <w:sz w:val="20"/>
                <w:szCs w:val="20"/>
              </w:rPr>
              <w:t>the S&amp;P Index</w:t>
            </w:r>
            <w:r>
              <w:rPr>
                <w:rFonts w:ascii="Arial" w:hAnsi="Arial" w:cs="Arial"/>
                <w:color w:val="3B3838"/>
                <w:sz w:val="20"/>
                <w:szCs w:val="20"/>
              </w:rPr>
              <w:t xml:space="preserve"> has trended higher since the March ’09 lows</w:t>
            </w:r>
            <w:r w:rsidR="008B0490">
              <w:rPr>
                <w:rFonts w:ascii="Arial" w:hAnsi="Arial" w:cs="Arial"/>
                <w:color w:val="3B3838"/>
                <w:sz w:val="20"/>
                <w:szCs w:val="20"/>
              </w:rPr>
              <w:t xml:space="preserve"> and held within this channel for over a year.  Bonds are</w:t>
            </w:r>
            <w:r>
              <w:rPr>
                <w:rFonts w:ascii="Arial" w:hAnsi="Arial" w:cs="Arial"/>
                <w:color w:val="3B3838"/>
                <w:sz w:val="20"/>
                <w:szCs w:val="20"/>
              </w:rPr>
              <w:t xml:space="preserve"> steadily moving lower and appear to be weighing on equities a bit. Monday marked the top of the trend channel on this chart and there is still some room before it would test the lower band of the channel.  A break of the lower support line would likely see stocks become</w:t>
            </w:r>
            <w:r w:rsidR="008B0490">
              <w:rPr>
                <w:rFonts w:ascii="Arial" w:hAnsi="Arial" w:cs="Arial"/>
                <w:color w:val="3B3838"/>
                <w:sz w:val="20"/>
                <w:szCs w:val="20"/>
              </w:rPr>
              <w:t xml:space="preserve"> vulnerable to a real pullback as passive investors will suddenly feel some pressure. </w:t>
            </w:r>
          </w:p>
          <w:p w:rsidR="0052626C" w:rsidRPr="00B341EA" w:rsidRDefault="0052626C" w:rsidP="00B341EA">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30226C95" wp14:editId="33AC5597">
                  <wp:extent cx="5943600" cy="270954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943600" cy="2709545"/>
                          </a:xfrm>
                          <a:prstGeom prst="rect">
                            <a:avLst/>
                          </a:prstGeom>
                        </pic:spPr>
                      </pic:pic>
                    </a:graphicData>
                  </a:graphic>
                </wp:inline>
              </w:drawing>
            </w:r>
          </w:p>
          <w:p w:rsidR="002E42B1" w:rsidRDefault="00172052" w:rsidP="008F1D0B">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Crude Oil futures have rallied +58% from the June low and XLE has had a nice run, +26% </w:t>
            </w:r>
            <w:r w:rsidR="004E4ACA">
              <w:rPr>
                <w:rFonts w:ascii="Arial" w:hAnsi="Arial" w:cs="Arial"/>
                <w:color w:val="3B3838"/>
                <w:sz w:val="20"/>
                <w:szCs w:val="20"/>
              </w:rPr>
              <w:t xml:space="preserve">from its August lows </w:t>
            </w:r>
            <w:r>
              <w:rPr>
                <w:rFonts w:ascii="Arial" w:hAnsi="Arial" w:cs="Arial"/>
                <w:color w:val="3B3838"/>
                <w:sz w:val="20"/>
                <w:szCs w:val="20"/>
              </w:rPr>
              <w:t xml:space="preserve">at its recent high. </w:t>
            </w:r>
            <w:r w:rsidR="004E4ACA">
              <w:rPr>
                <w:rFonts w:ascii="Arial" w:hAnsi="Arial" w:cs="Arial"/>
                <w:color w:val="3B3838"/>
                <w:sz w:val="20"/>
                <w:szCs w:val="20"/>
              </w:rPr>
              <w:t>The January 24</w:t>
            </w:r>
            <w:r w:rsidR="004E4ACA" w:rsidRPr="004E4ACA">
              <w:rPr>
                <w:rFonts w:ascii="Arial" w:hAnsi="Arial" w:cs="Arial"/>
                <w:color w:val="3B3838"/>
                <w:sz w:val="20"/>
                <w:szCs w:val="20"/>
                <w:vertAlign w:val="superscript"/>
              </w:rPr>
              <w:t>th</w:t>
            </w:r>
            <w:r w:rsidR="004E4ACA">
              <w:rPr>
                <w:rFonts w:ascii="Arial" w:hAnsi="Arial" w:cs="Arial"/>
                <w:color w:val="3B3838"/>
                <w:sz w:val="20"/>
                <w:szCs w:val="20"/>
              </w:rPr>
              <w:t xml:space="preserve"> high in XLE is just a few cents away from the Dec ’16 top and seen as pivotal. </w:t>
            </w:r>
            <w:r>
              <w:rPr>
                <w:rFonts w:ascii="Arial" w:hAnsi="Arial" w:cs="Arial"/>
                <w:color w:val="3B3838"/>
                <w:sz w:val="20"/>
                <w:szCs w:val="20"/>
              </w:rPr>
              <w:t xml:space="preserve"> </w:t>
            </w:r>
            <w:r w:rsidR="004E4ACA">
              <w:rPr>
                <w:rFonts w:ascii="Arial" w:hAnsi="Arial" w:cs="Arial"/>
                <w:color w:val="3B3838"/>
                <w:sz w:val="20"/>
                <w:szCs w:val="20"/>
              </w:rPr>
              <w:t xml:space="preserve">The energy sector went from crowded short </w:t>
            </w:r>
            <w:r w:rsidR="00836AFA">
              <w:rPr>
                <w:rFonts w:ascii="Arial" w:hAnsi="Arial" w:cs="Arial"/>
                <w:color w:val="3B3838"/>
                <w:sz w:val="20"/>
                <w:szCs w:val="20"/>
              </w:rPr>
              <w:t>for most of 2017 to</w:t>
            </w:r>
            <w:r w:rsidR="004E4ACA">
              <w:rPr>
                <w:rFonts w:ascii="Arial" w:hAnsi="Arial" w:cs="Arial"/>
                <w:color w:val="3B3838"/>
                <w:sz w:val="20"/>
                <w:szCs w:val="20"/>
              </w:rPr>
              <w:t xml:space="preserve"> crowded long now. </w:t>
            </w:r>
            <w:r w:rsidR="00836AFA">
              <w:rPr>
                <w:rFonts w:ascii="Arial" w:hAnsi="Arial" w:cs="Arial"/>
                <w:color w:val="3B3838"/>
                <w:sz w:val="20"/>
                <w:szCs w:val="20"/>
              </w:rPr>
              <w:t xml:space="preserve">So, it looks like some rotation out of energy this week after XLE/SPY hits what has been a very pivotal level in this pair. Notice the January ’16 low is the recent top.  Using this pivot line we would look for upside momentum of some magnitude once above it. </w:t>
            </w:r>
          </w:p>
          <w:p w:rsidR="002E42B1" w:rsidRDefault="00836AFA" w:rsidP="008F1D0B">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755C43F0" wp14:editId="6FA75654">
                  <wp:extent cx="5943600" cy="26695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2669540"/>
                          </a:xfrm>
                          <a:prstGeom prst="rect">
                            <a:avLst/>
                          </a:prstGeom>
                        </pic:spPr>
                      </pic:pic>
                    </a:graphicData>
                  </a:graphic>
                </wp:inline>
              </w:drawing>
            </w:r>
          </w:p>
          <w:p w:rsidR="007A7D72" w:rsidRDefault="008B0490" w:rsidP="008F1D0B">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Bitcoin has been a retail phenomenon as institutiona</w:t>
            </w:r>
            <w:r w:rsidR="007A7D72">
              <w:rPr>
                <w:rFonts w:ascii="Arial" w:hAnsi="Arial" w:cs="Arial"/>
                <w:color w:val="3B3838"/>
                <w:sz w:val="20"/>
                <w:szCs w:val="20"/>
              </w:rPr>
              <w:t xml:space="preserve">l traders have been reluctant to join this party. Just as rotation has been bullish in equities, There has been rotation between crypto currencies until recently. When Bitcoin dropped over 40% in December other </w:t>
            </w:r>
            <w:proofErr w:type="spellStart"/>
            <w:r w:rsidR="007A7D72">
              <w:rPr>
                <w:rFonts w:ascii="Arial" w:hAnsi="Arial" w:cs="Arial"/>
                <w:color w:val="3B3838"/>
                <w:sz w:val="20"/>
                <w:szCs w:val="20"/>
              </w:rPr>
              <w:t>cryptos</w:t>
            </w:r>
            <w:proofErr w:type="spellEnd"/>
            <w:r w:rsidR="007A7D72">
              <w:rPr>
                <w:rFonts w:ascii="Arial" w:hAnsi="Arial" w:cs="Arial"/>
                <w:color w:val="3B3838"/>
                <w:sz w:val="20"/>
                <w:szCs w:val="20"/>
              </w:rPr>
              <w:t xml:space="preserve"> rallied such as Ripple, Ethereum, Litecoin, etc.  When these fell, Bitcoin rallied. Well, that seems to have changed recently.  The Bitcoin Real Time Index broke its 50dma in mid-January and this week it broke its 100dma for the first time in quite a while. Currently filling the gap from November may be a positive, but if this breaks we can look for a test of the 200dma at 6200 area. </w:t>
            </w:r>
          </w:p>
          <w:p w:rsidR="00B30D16" w:rsidRDefault="007A7D72" w:rsidP="008F1D0B">
            <w:pPr>
              <w:autoSpaceDE w:val="0"/>
              <w:autoSpaceDN w:val="0"/>
              <w:spacing w:before="100" w:beforeAutospacing="1" w:after="100" w:afterAutospacing="1"/>
              <w:rPr>
                <w:rFonts w:ascii="Arial" w:hAnsi="Arial" w:cs="Arial"/>
                <w:color w:val="3B3838"/>
                <w:sz w:val="20"/>
                <w:szCs w:val="20"/>
              </w:rPr>
            </w:pPr>
            <w:r>
              <w:rPr>
                <w:noProof/>
              </w:rPr>
              <w:drawing>
                <wp:inline distT="0" distB="0" distL="0" distR="0" wp14:anchorId="10AF16E0" wp14:editId="21EC9E4C">
                  <wp:extent cx="5943600" cy="29540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943600" cy="2954020"/>
                          </a:xfrm>
                          <a:prstGeom prst="rect">
                            <a:avLst/>
                          </a:prstGeom>
                        </pic:spPr>
                      </pic:pic>
                    </a:graphicData>
                  </a:graphic>
                </wp:inline>
              </w:drawing>
            </w:r>
            <w:r>
              <w:rPr>
                <w:rFonts w:ascii="Arial" w:hAnsi="Arial" w:cs="Arial"/>
                <w:color w:val="3B3838"/>
                <w:sz w:val="20"/>
                <w:szCs w:val="20"/>
              </w:rPr>
              <w:t xml:space="preserve"> </w:t>
            </w:r>
          </w:p>
          <w:p w:rsidR="00945DE6" w:rsidRPr="00945DE6" w:rsidRDefault="00945DE6" w:rsidP="00945DE6">
            <w:pPr>
              <w:rPr>
                <w:rFonts w:ascii="Arial" w:hAnsi="Arial" w:cs="Arial"/>
                <w:sz w:val="20"/>
                <w:szCs w:val="20"/>
              </w:rPr>
            </w:pPr>
            <w:r w:rsidRPr="00945DE6">
              <w:rPr>
                <w:rFonts w:ascii="Arial" w:hAnsi="Arial" w:cs="Arial"/>
                <w:sz w:val="20"/>
                <w:szCs w:val="20"/>
              </w:rPr>
              <w:t xml:space="preserve">David Wienke is the editor of Keystone Charts </w:t>
            </w:r>
            <w:hyperlink r:id="rId17" w:history="1">
              <w:r w:rsidRPr="00945DE6">
                <w:rPr>
                  <w:rStyle w:val="Hyperlink"/>
                  <w:rFonts w:ascii="Arial" w:hAnsi="Arial" w:cs="Arial"/>
                  <w:sz w:val="20"/>
                  <w:szCs w:val="20"/>
                </w:rPr>
                <w:t>link</w:t>
              </w:r>
            </w:hyperlink>
            <w:r w:rsidRPr="00945DE6">
              <w:rPr>
                <w:rFonts w:ascii="Arial" w:hAnsi="Arial" w:cs="Arial"/>
                <w:sz w:val="20"/>
                <w:szCs w:val="20"/>
              </w:rPr>
              <w:t xml:space="preserve">.  More than 30 years’ experience providing technical analysis and execution services to institutional clients is now provided in a daily newsletter, </w:t>
            </w:r>
            <w:r w:rsidRPr="00945DE6">
              <w:rPr>
                <w:rFonts w:ascii="Arial" w:hAnsi="Arial" w:cs="Arial"/>
                <w:i/>
                <w:sz w:val="20"/>
                <w:szCs w:val="20"/>
              </w:rPr>
              <w:t>The Daily Game Plan</w:t>
            </w:r>
            <w:r w:rsidRPr="00945DE6">
              <w:rPr>
                <w:rFonts w:ascii="Arial" w:hAnsi="Arial" w:cs="Arial"/>
                <w:sz w:val="20"/>
                <w:szCs w:val="20"/>
              </w:rPr>
              <w:t xml:space="preserve">.  Coverage includes equities, rates, currencies, and commodities.  Dave is also an introducing broker with Capital Trading Group, LLLP (CTG); a Chicago based investment firm focusing on alternative investment opportunities for CTAs and individual investors. </w:t>
            </w:r>
            <w:r w:rsidR="007B538A">
              <w:rPr>
                <w:rFonts w:ascii="Arial" w:hAnsi="Arial" w:cs="Arial"/>
                <w:sz w:val="20"/>
                <w:szCs w:val="20"/>
              </w:rPr>
              <w:t xml:space="preserve">Charts are created using CQG, the best charting service there is. For a free trial of the Daily Game Plan newsletter go to </w:t>
            </w:r>
            <w:hyperlink r:id="rId18" w:history="1">
              <w:r w:rsidR="007B538A" w:rsidRPr="002C71E2">
                <w:rPr>
                  <w:rStyle w:val="Hyperlink"/>
                  <w:rFonts w:ascii="Arial" w:hAnsi="Arial" w:cs="Arial"/>
                  <w:sz w:val="20"/>
                  <w:szCs w:val="20"/>
                </w:rPr>
                <w:t>www.keystonecharts.net</w:t>
              </w:r>
            </w:hyperlink>
            <w:r w:rsidR="007B538A">
              <w:rPr>
                <w:rFonts w:ascii="Arial" w:hAnsi="Arial" w:cs="Arial"/>
                <w:sz w:val="20"/>
                <w:szCs w:val="20"/>
              </w:rPr>
              <w:t xml:space="preserve"> or email me at </w:t>
            </w:r>
            <w:hyperlink r:id="rId19" w:history="1">
              <w:r w:rsidR="007B538A" w:rsidRPr="002C71E2">
                <w:rPr>
                  <w:rStyle w:val="Hyperlink"/>
                  <w:rFonts w:ascii="Arial" w:hAnsi="Arial" w:cs="Arial"/>
                  <w:sz w:val="20"/>
                  <w:szCs w:val="20"/>
                </w:rPr>
                <w:t>dave@keystonecharts.net</w:t>
              </w:r>
            </w:hyperlink>
            <w:r w:rsidR="007B538A">
              <w:rPr>
                <w:rFonts w:ascii="Arial" w:hAnsi="Arial" w:cs="Arial"/>
                <w:sz w:val="20"/>
                <w:szCs w:val="20"/>
              </w:rPr>
              <w:t xml:space="preserve"> </w:t>
            </w:r>
          </w:p>
          <w:p w:rsidR="00945DE6" w:rsidRDefault="00945DE6" w:rsidP="008F1D0B">
            <w:pPr>
              <w:autoSpaceDE w:val="0"/>
              <w:autoSpaceDN w:val="0"/>
              <w:spacing w:before="100" w:beforeAutospacing="1" w:after="100" w:afterAutospacing="1"/>
              <w:rPr>
                <w:rFonts w:ascii="Arial" w:hAnsi="Arial" w:cs="Arial"/>
                <w:color w:val="3B3838"/>
                <w:sz w:val="20"/>
                <w:szCs w:val="20"/>
              </w:rPr>
            </w:pPr>
          </w:p>
          <w:p w:rsidR="00825E05" w:rsidRDefault="00825E05" w:rsidP="008F1D0B">
            <w:pPr>
              <w:autoSpaceDE w:val="0"/>
              <w:autoSpaceDN w:val="0"/>
              <w:spacing w:before="100" w:beforeAutospacing="1" w:after="100" w:afterAutospacing="1"/>
              <w:rPr>
                <w:rFonts w:ascii="Arial" w:hAnsi="Arial" w:cs="Arial"/>
                <w:color w:val="3B3838"/>
                <w:sz w:val="20"/>
                <w:szCs w:val="20"/>
              </w:rPr>
            </w:pPr>
          </w:p>
          <w:p w:rsidR="00825E05" w:rsidRDefault="00825E05" w:rsidP="008F1D0B">
            <w:pPr>
              <w:autoSpaceDE w:val="0"/>
              <w:autoSpaceDN w:val="0"/>
              <w:spacing w:before="100" w:beforeAutospacing="1" w:after="100" w:afterAutospacing="1"/>
              <w:rPr>
                <w:rFonts w:ascii="Arial" w:hAnsi="Arial" w:cs="Arial"/>
                <w:color w:val="3B3838"/>
                <w:sz w:val="20"/>
                <w:szCs w:val="20"/>
              </w:rPr>
            </w:pPr>
          </w:p>
          <w:p w:rsidR="008F1D0B" w:rsidRDefault="008F1D0B" w:rsidP="008F1D0B">
            <w:pPr>
              <w:autoSpaceDE w:val="0"/>
              <w:autoSpaceDN w:val="0"/>
              <w:spacing w:before="100" w:beforeAutospacing="1" w:after="100" w:afterAutospacing="1"/>
              <w:rPr>
                <w:rFonts w:ascii="Arial" w:hAnsi="Arial" w:cs="Arial"/>
                <w:color w:val="3B3838"/>
                <w:sz w:val="20"/>
                <w:szCs w:val="20"/>
              </w:rPr>
            </w:pPr>
            <w:r>
              <w:rPr>
                <w:rFonts w:ascii="Arial" w:hAnsi="Arial" w:cs="Arial"/>
                <w:color w:val="3B3838"/>
                <w:sz w:val="20"/>
                <w:szCs w:val="20"/>
              </w:rPr>
              <w:t xml:space="preserve">Charted using CQG </w:t>
            </w:r>
          </w:p>
          <w:p w:rsidR="00D71610" w:rsidRPr="008F1D0B" w:rsidRDefault="008F1D0B" w:rsidP="008F1D0B">
            <w:pPr>
              <w:autoSpaceDE w:val="0"/>
              <w:autoSpaceDN w:val="0"/>
              <w:spacing w:before="100" w:beforeAutospacing="1" w:after="100" w:afterAutospacing="1"/>
              <w:rPr>
                <w:rFonts w:ascii="Calibri" w:hAnsi="Calibri" w:cs="Calibri"/>
                <w:sz w:val="22"/>
                <w:szCs w:val="22"/>
              </w:rPr>
            </w:pPr>
            <w:r>
              <w:rPr>
                <w:rFonts w:ascii="Calibri" w:hAnsi="Calibri" w:cs="Calibri"/>
                <w:noProof/>
                <w:sz w:val="22"/>
                <w:szCs w:val="22"/>
              </w:rPr>
              <w:drawing>
                <wp:inline distT="0" distB="0" distL="0" distR="0" wp14:anchorId="28E00CE5" wp14:editId="365B6E01">
                  <wp:extent cx="971550" cy="219075"/>
                  <wp:effectExtent l="0" t="0" r="0" b="9525"/>
                  <wp:docPr id="1" name="Picture 1" descr="cid:image042.png@01D3635C.FF6E0D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42.png@01D3635C.FF6E0DE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1550" cy="219075"/>
                          </a:xfrm>
                          <a:prstGeom prst="rect">
                            <a:avLst/>
                          </a:prstGeom>
                          <a:noFill/>
                          <a:ln>
                            <a:noFill/>
                          </a:ln>
                        </pic:spPr>
                      </pic:pic>
                    </a:graphicData>
                  </a:graphic>
                </wp:inline>
              </w:drawing>
            </w:r>
            <w:r>
              <w:rPr>
                <w:rFonts w:ascii="Calibri" w:hAnsi="Calibri" w:cs="Calibri"/>
                <w:sz w:val="22"/>
                <w:szCs w:val="22"/>
              </w:rPr>
              <w:t xml:space="preserve">  </w:t>
            </w:r>
            <w:hyperlink r:id="rId21" w:history="1">
              <w:r>
                <w:rPr>
                  <w:rStyle w:val="Hyperlink"/>
                  <w:rFonts w:ascii="Calibri" w:hAnsi="Calibri" w:cs="Calibri"/>
                  <w:sz w:val="22"/>
                  <w:szCs w:val="22"/>
                </w:rPr>
                <w:t>www.cqg.com</w:t>
              </w:r>
            </w:hyperlink>
            <w:r>
              <w:rPr>
                <w:rFonts w:ascii="Calibri" w:hAnsi="Calibri" w:cs="Calibri"/>
                <w:sz w:val="22"/>
                <w:szCs w:val="22"/>
              </w:rPr>
              <w:t xml:space="preserve"> </w:t>
            </w:r>
          </w:p>
          <w:p w:rsidR="00044155" w:rsidRDefault="00CB57EF" w:rsidP="00044155">
            <w:pPr>
              <w:rPr>
                <w:rFonts w:ascii="Arial" w:hAnsi="Arial" w:cs="Arial"/>
                <w:b/>
                <w:bCs/>
                <w:sz w:val="22"/>
                <w:szCs w:val="22"/>
              </w:rPr>
            </w:pPr>
            <w:r>
              <w:rPr>
                <w:rFonts w:ascii="Arial" w:hAnsi="Arial" w:cs="Arial"/>
                <w:b/>
                <w:bCs/>
                <w:sz w:val="22"/>
                <w:szCs w:val="22"/>
              </w:rPr>
              <w:t> </w:t>
            </w:r>
            <w:r w:rsidR="00044155">
              <w:rPr>
                <w:rFonts w:ascii="Arial" w:hAnsi="Arial" w:cs="Arial"/>
                <w:b/>
                <w:bCs/>
                <w:sz w:val="22"/>
                <w:szCs w:val="22"/>
              </w:rPr>
              <w:t>                         </w:t>
            </w:r>
            <w:r>
              <w:rPr>
                <w:rFonts w:ascii="Arial" w:hAnsi="Arial" w:cs="Arial"/>
                <w:b/>
                <w:bCs/>
                <w:sz w:val="22"/>
                <w:szCs w:val="22"/>
              </w:rPr>
              <w:t xml:space="preserve"> </w:t>
            </w:r>
            <w:r w:rsidR="00044155">
              <w:rPr>
                <w:rFonts w:ascii="Arial" w:hAnsi="Arial" w:cs="Arial"/>
                <w:b/>
                <w:bCs/>
                <w:sz w:val="22"/>
                <w:szCs w:val="22"/>
              </w:rPr>
              <w:t xml:space="preserve">       </w:t>
            </w:r>
            <w:r w:rsidR="00044155">
              <w:rPr>
                <w:rFonts w:ascii="Arial" w:hAnsi="Arial" w:cs="Arial"/>
                <w:sz w:val="22"/>
                <w:szCs w:val="22"/>
              </w:rPr>
              <w:t>                                                                </w:t>
            </w:r>
            <w:r w:rsidR="00044155">
              <w:rPr>
                <w:rFonts w:ascii="Calibri" w:hAnsi="Calibri" w:cs="Calibri"/>
                <w:sz w:val="22"/>
                <w:szCs w:val="22"/>
              </w:rPr>
              <w:t>                      </w:t>
            </w:r>
          </w:p>
          <w:p w:rsidR="004D29EF" w:rsidRDefault="004D29EF" w:rsidP="004D29EF">
            <w:pPr>
              <w:autoSpaceDE w:val="0"/>
              <w:autoSpaceDN w:val="0"/>
              <w:spacing w:before="100" w:beforeAutospacing="1" w:after="100" w:afterAutospacing="1"/>
            </w:pPr>
            <w:r>
              <w:rPr>
                <w:noProof/>
              </w:rPr>
              <mc:AlternateContent>
                <mc:Choice Requires="wps">
                  <w:drawing>
                    <wp:anchor distT="0" distB="0" distL="114300" distR="114300" simplePos="0" relativeHeight="251659264" behindDoc="0" locked="0" layoutInCell="1" allowOverlap="1" wp14:anchorId="6C97FAC5" wp14:editId="1D7C52AD">
                      <wp:simplePos x="0" y="0"/>
                      <wp:positionH relativeFrom="column">
                        <wp:posOffset>57150</wp:posOffset>
                      </wp:positionH>
                      <wp:positionV relativeFrom="paragraph">
                        <wp:posOffset>123825</wp:posOffset>
                      </wp:positionV>
                      <wp:extent cx="6419850" cy="9525"/>
                      <wp:effectExtent l="0" t="0" r="19050" b="28575"/>
                      <wp:wrapNone/>
                      <wp:docPr id="92" name="Straight Connector 92"/>
                      <wp:cNvGraphicFramePr/>
                      <a:graphic xmlns:a="http://schemas.openxmlformats.org/drawingml/2006/main">
                        <a:graphicData uri="http://schemas.microsoft.com/office/word/2010/wordprocessingShape">
                          <wps:wsp>
                            <wps:cNvCnPr/>
                            <wps:spPr>
                              <a:xfrm>
                                <a:off x="0" y="0"/>
                                <a:ext cx="6419850" cy="9525"/>
                              </a:xfrm>
                              <a:prstGeom prst="line">
                                <a:avLst/>
                              </a:prstGeom>
                              <a:ln w="127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9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9.75pt" to="510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" strokecolor="#44546a [3215]" strokeweight="1pt">
                      <v:stroke joinstyle="miter"/>
                    </v:line>
                  </w:pict>
                </mc:Fallback>
              </mc:AlternateContent>
            </w:r>
          </w:p>
          <w:p w:rsidR="004D29EF" w:rsidRDefault="004D29EF" w:rsidP="004D29EF">
            <w:pPr>
              <w:rPr>
                <w:rFonts w:ascii="Tw Cen MT" w:hAnsi="Tw Cen MT"/>
              </w:rPr>
            </w:pPr>
            <w:r>
              <w:rPr>
                <w:rFonts w:ascii="Calibri" w:hAnsi="Calibri" w:cs="Calibri"/>
                <w:color w:val="333333"/>
                <w:sz w:val="20"/>
                <w:szCs w:val="20"/>
                <w:u w:val="single"/>
              </w:rPr>
              <w:t xml:space="preserve">DISCLAIMER:  For Educational purposes only.  </w:t>
            </w:r>
            <w:r>
              <w:rPr>
                <w:rFonts w:ascii="Tw Cen MT" w:hAnsi="Tw Cen MT"/>
                <w:color w:val="333333"/>
                <w:sz w:val="20"/>
                <w:szCs w:val="20"/>
                <w:u w:val="single"/>
              </w:rPr>
              <w:t>This is not a solicitation to buy or sell commodity futures or options on commodity futures and should not be construed as such.  The risk of trading securities, futures and options can be substantial and is not for everyone.  Such investments may not be appropriate for the recipient.  The valuation of futures and options may fluctuate, and, as a result, clients may lose more than their original investment.  Nothing contained in this message may be construed as an express or an implied promise, guarantee or implication by, of, or from Keystone Charts, Inc. that you will profit or that losses can or will be limited in any manner whatsoever.  Past performance is not necessarily indicative of future results.  Although care has been taken to assure the accuracy, completeness and reliability of the information contained herein, Keystone Charts, Inc. makes no warranty, express or implied, or assumes any legal liability or responsibility for the accuracy, completeness, reliability or usefulness of any information, product, service or process disclosed.  PROPERTY OF KEYSTONE CHARTS, INC.  DO NOT COPY OR FORWARD INTELLECTUAL PROPERTY WITHOUT PRIOR WRITTEN CONSENT.</w:t>
            </w:r>
          </w:p>
          <w:p w:rsidR="00554C90" w:rsidRDefault="00554C90">
            <w:pPr>
              <w:autoSpaceDE w:val="0"/>
              <w:autoSpaceDN w:val="0"/>
              <w:spacing w:before="100" w:beforeAutospacing="1" w:after="100" w:afterAutospacing="1"/>
              <w:rPr>
                <w:rFonts w:ascii="Calibri" w:hAnsi="Calibri" w:cs="Calibri"/>
                <w:sz w:val="22"/>
                <w:szCs w:val="22"/>
              </w:rPr>
            </w:pPr>
          </w:p>
        </w:tc>
      </w:tr>
    </w:tbl>
    <w:p w:rsidR="009F578E" w:rsidRDefault="009F578E"/>
    <w:sectPr w:rsidR="009F578E" w:rsidSect="006D3FDC">
      <w:type w:val="continuous"/>
      <w:pgSz w:w="12240" w:h="15840" w:code="1"/>
      <w:pgMar w:top="720" w:right="274" w:bottom="0" w:left="274" w:header="720" w:footer="720" w:gutter="0"/>
      <w:paperSrc w:first="4" w:other="4"/>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hideSpellingErrors/>
  <w:hideGrammaticalErrors/>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C90"/>
    <w:rsid w:val="00044155"/>
    <w:rsid w:val="00070134"/>
    <w:rsid w:val="000A101F"/>
    <w:rsid w:val="00112B29"/>
    <w:rsid w:val="00172052"/>
    <w:rsid w:val="0021380E"/>
    <w:rsid w:val="00267D9A"/>
    <w:rsid w:val="002E42B1"/>
    <w:rsid w:val="004A3404"/>
    <w:rsid w:val="004B5355"/>
    <w:rsid w:val="004D29EF"/>
    <w:rsid w:val="004E2EDD"/>
    <w:rsid w:val="004E4ACA"/>
    <w:rsid w:val="005177EE"/>
    <w:rsid w:val="0052626C"/>
    <w:rsid w:val="0055120F"/>
    <w:rsid w:val="00554C90"/>
    <w:rsid w:val="006D3FDC"/>
    <w:rsid w:val="007A10D4"/>
    <w:rsid w:val="007A7D72"/>
    <w:rsid w:val="007B538A"/>
    <w:rsid w:val="0081798D"/>
    <w:rsid w:val="00825E05"/>
    <w:rsid w:val="00836AFA"/>
    <w:rsid w:val="00874830"/>
    <w:rsid w:val="008902A8"/>
    <w:rsid w:val="008B0490"/>
    <w:rsid w:val="008E2089"/>
    <w:rsid w:val="008F1D0B"/>
    <w:rsid w:val="00945DE6"/>
    <w:rsid w:val="009F578E"/>
    <w:rsid w:val="00A71790"/>
    <w:rsid w:val="00AC228C"/>
    <w:rsid w:val="00AC7C43"/>
    <w:rsid w:val="00B30D16"/>
    <w:rsid w:val="00B341EA"/>
    <w:rsid w:val="00C01E19"/>
    <w:rsid w:val="00C353B5"/>
    <w:rsid w:val="00C805C6"/>
    <w:rsid w:val="00CB57EF"/>
    <w:rsid w:val="00CD2E92"/>
    <w:rsid w:val="00CF6832"/>
    <w:rsid w:val="00D674E7"/>
    <w:rsid w:val="00D71610"/>
    <w:rsid w:val="00D95121"/>
    <w:rsid w:val="00DF2268"/>
    <w:rsid w:val="00E55EE7"/>
    <w:rsid w:val="00E822B2"/>
    <w:rsid w:val="00EC7981"/>
    <w:rsid w:val="00F11901"/>
    <w:rsid w:val="00F44798"/>
    <w:rsid w:val="00FA1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C90"/>
    <w:rPr>
      <w:rFonts w:ascii="Tahoma" w:hAnsi="Tahoma" w:cs="Tahoma"/>
      <w:sz w:val="16"/>
      <w:szCs w:val="16"/>
    </w:rPr>
  </w:style>
  <w:style w:type="character" w:customStyle="1" w:styleId="BalloonTextChar">
    <w:name w:val="Balloon Text Char"/>
    <w:basedOn w:val="DefaultParagraphFont"/>
    <w:link w:val="BalloonText"/>
    <w:uiPriority w:val="99"/>
    <w:semiHidden/>
    <w:rsid w:val="00554C90"/>
    <w:rPr>
      <w:rFonts w:ascii="Tahoma" w:hAnsi="Tahoma" w:cs="Tahoma"/>
      <w:sz w:val="16"/>
      <w:szCs w:val="16"/>
    </w:rPr>
  </w:style>
  <w:style w:type="character" w:styleId="Hyperlink">
    <w:name w:val="Hyperlink"/>
    <w:basedOn w:val="DefaultParagraphFont"/>
    <w:uiPriority w:val="99"/>
    <w:unhideWhenUsed/>
    <w:rsid w:val="008F1D0B"/>
    <w:rPr>
      <w:color w:val="0000FF"/>
      <w:u w:val="single"/>
    </w:rPr>
  </w:style>
  <w:style w:type="table" w:styleId="TableGrid">
    <w:name w:val="Table Grid"/>
    <w:basedOn w:val="TableNormal"/>
    <w:uiPriority w:val="39"/>
    <w:rsid w:val="00CF683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C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54C90"/>
    <w:rPr>
      <w:rFonts w:ascii="Tahoma" w:hAnsi="Tahoma" w:cs="Tahoma"/>
      <w:sz w:val="16"/>
      <w:szCs w:val="16"/>
    </w:rPr>
  </w:style>
  <w:style w:type="character" w:customStyle="1" w:styleId="BalloonTextChar">
    <w:name w:val="Balloon Text Char"/>
    <w:basedOn w:val="DefaultParagraphFont"/>
    <w:link w:val="BalloonText"/>
    <w:uiPriority w:val="99"/>
    <w:semiHidden/>
    <w:rsid w:val="00554C90"/>
    <w:rPr>
      <w:rFonts w:ascii="Tahoma" w:hAnsi="Tahoma" w:cs="Tahoma"/>
      <w:sz w:val="16"/>
      <w:szCs w:val="16"/>
    </w:rPr>
  </w:style>
  <w:style w:type="character" w:styleId="Hyperlink">
    <w:name w:val="Hyperlink"/>
    <w:basedOn w:val="DefaultParagraphFont"/>
    <w:uiPriority w:val="99"/>
    <w:unhideWhenUsed/>
    <w:rsid w:val="008F1D0B"/>
    <w:rPr>
      <w:color w:val="0000FF"/>
      <w:u w:val="single"/>
    </w:rPr>
  </w:style>
  <w:style w:type="table" w:styleId="TableGrid">
    <w:name w:val="Table Grid"/>
    <w:basedOn w:val="TableNormal"/>
    <w:uiPriority w:val="39"/>
    <w:rsid w:val="00CF6832"/>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06848">
      <w:bodyDiv w:val="1"/>
      <w:marLeft w:val="0"/>
      <w:marRight w:val="0"/>
      <w:marTop w:val="0"/>
      <w:marBottom w:val="0"/>
      <w:divBdr>
        <w:top w:val="none" w:sz="0" w:space="0" w:color="auto"/>
        <w:left w:val="none" w:sz="0" w:space="0" w:color="auto"/>
        <w:bottom w:val="none" w:sz="0" w:space="0" w:color="auto"/>
        <w:right w:val="none" w:sz="0" w:space="0" w:color="auto"/>
      </w:divBdr>
    </w:div>
    <w:div w:id="85856231">
      <w:bodyDiv w:val="1"/>
      <w:marLeft w:val="0"/>
      <w:marRight w:val="0"/>
      <w:marTop w:val="0"/>
      <w:marBottom w:val="0"/>
      <w:divBdr>
        <w:top w:val="none" w:sz="0" w:space="0" w:color="auto"/>
        <w:left w:val="none" w:sz="0" w:space="0" w:color="auto"/>
        <w:bottom w:val="none" w:sz="0" w:space="0" w:color="auto"/>
        <w:right w:val="none" w:sz="0" w:space="0" w:color="auto"/>
      </w:divBdr>
    </w:div>
    <w:div w:id="255024445">
      <w:bodyDiv w:val="1"/>
      <w:marLeft w:val="0"/>
      <w:marRight w:val="0"/>
      <w:marTop w:val="0"/>
      <w:marBottom w:val="0"/>
      <w:divBdr>
        <w:top w:val="none" w:sz="0" w:space="0" w:color="auto"/>
        <w:left w:val="none" w:sz="0" w:space="0" w:color="auto"/>
        <w:bottom w:val="none" w:sz="0" w:space="0" w:color="auto"/>
        <w:right w:val="none" w:sz="0" w:space="0" w:color="auto"/>
      </w:divBdr>
    </w:div>
    <w:div w:id="287319209">
      <w:bodyDiv w:val="1"/>
      <w:marLeft w:val="0"/>
      <w:marRight w:val="0"/>
      <w:marTop w:val="0"/>
      <w:marBottom w:val="0"/>
      <w:divBdr>
        <w:top w:val="none" w:sz="0" w:space="0" w:color="auto"/>
        <w:left w:val="none" w:sz="0" w:space="0" w:color="auto"/>
        <w:bottom w:val="none" w:sz="0" w:space="0" w:color="auto"/>
        <w:right w:val="none" w:sz="0" w:space="0" w:color="auto"/>
      </w:divBdr>
    </w:div>
    <w:div w:id="386222708">
      <w:bodyDiv w:val="1"/>
      <w:marLeft w:val="0"/>
      <w:marRight w:val="0"/>
      <w:marTop w:val="0"/>
      <w:marBottom w:val="0"/>
      <w:divBdr>
        <w:top w:val="none" w:sz="0" w:space="0" w:color="auto"/>
        <w:left w:val="none" w:sz="0" w:space="0" w:color="auto"/>
        <w:bottom w:val="none" w:sz="0" w:space="0" w:color="auto"/>
        <w:right w:val="none" w:sz="0" w:space="0" w:color="auto"/>
      </w:divBdr>
    </w:div>
    <w:div w:id="716899921">
      <w:bodyDiv w:val="1"/>
      <w:marLeft w:val="0"/>
      <w:marRight w:val="0"/>
      <w:marTop w:val="0"/>
      <w:marBottom w:val="0"/>
      <w:divBdr>
        <w:top w:val="none" w:sz="0" w:space="0" w:color="auto"/>
        <w:left w:val="none" w:sz="0" w:space="0" w:color="auto"/>
        <w:bottom w:val="none" w:sz="0" w:space="0" w:color="auto"/>
        <w:right w:val="none" w:sz="0" w:space="0" w:color="auto"/>
      </w:divBdr>
    </w:div>
    <w:div w:id="723991437">
      <w:bodyDiv w:val="1"/>
      <w:marLeft w:val="0"/>
      <w:marRight w:val="0"/>
      <w:marTop w:val="0"/>
      <w:marBottom w:val="0"/>
      <w:divBdr>
        <w:top w:val="none" w:sz="0" w:space="0" w:color="auto"/>
        <w:left w:val="none" w:sz="0" w:space="0" w:color="auto"/>
        <w:bottom w:val="none" w:sz="0" w:space="0" w:color="auto"/>
        <w:right w:val="none" w:sz="0" w:space="0" w:color="auto"/>
      </w:divBdr>
    </w:div>
    <w:div w:id="733629327">
      <w:bodyDiv w:val="1"/>
      <w:marLeft w:val="0"/>
      <w:marRight w:val="0"/>
      <w:marTop w:val="0"/>
      <w:marBottom w:val="0"/>
      <w:divBdr>
        <w:top w:val="none" w:sz="0" w:space="0" w:color="auto"/>
        <w:left w:val="none" w:sz="0" w:space="0" w:color="auto"/>
        <w:bottom w:val="none" w:sz="0" w:space="0" w:color="auto"/>
        <w:right w:val="none" w:sz="0" w:space="0" w:color="auto"/>
      </w:divBdr>
    </w:div>
    <w:div w:id="767428403">
      <w:bodyDiv w:val="1"/>
      <w:marLeft w:val="0"/>
      <w:marRight w:val="0"/>
      <w:marTop w:val="0"/>
      <w:marBottom w:val="0"/>
      <w:divBdr>
        <w:top w:val="none" w:sz="0" w:space="0" w:color="auto"/>
        <w:left w:val="none" w:sz="0" w:space="0" w:color="auto"/>
        <w:bottom w:val="none" w:sz="0" w:space="0" w:color="auto"/>
        <w:right w:val="none" w:sz="0" w:space="0" w:color="auto"/>
      </w:divBdr>
    </w:div>
    <w:div w:id="835269835">
      <w:bodyDiv w:val="1"/>
      <w:marLeft w:val="0"/>
      <w:marRight w:val="0"/>
      <w:marTop w:val="0"/>
      <w:marBottom w:val="0"/>
      <w:divBdr>
        <w:top w:val="none" w:sz="0" w:space="0" w:color="auto"/>
        <w:left w:val="none" w:sz="0" w:space="0" w:color="auto"/>
        <w:bottom w:val="none" w:sz="0" w:space="0" w:color="auto"/>
        <w:right w:val="none" w:sz="0" w:space="0" w:color="auto"/>
      </w:divBdr>
    </w:div>
    <w:div w:id="942960525">
      <w:bodyDiv w:val="1"/>
      <w:marLeft w:val="0"/>
      <w:marRight w:val="0"/>
      <w:marTop w:val="0"/>
      <w:marBottom w:val="0"/>
      <w:divBdr>
        <w:top w:val="none" w:sz="0" w:space="0" w:color="auto"/>
        <w:left w:val="none" w:sz="0" w:space="0" w:color="auto"/>
        <w:bottom w:val="none" w:sz="0" w:space="0" w:color="auto"/>
        <w:right w:val="none" w:sz="0" w:space="0" w:color="auto"/>
      </w:divBdr>
    </w:div>
    <w:div w:id="953169759">
      <w:bodyDiv w:val="1"/>
      <w:marLeft w:val="0"/>
      <w:marRight w:val="0"/>
      <w:marTop w:val="0"/>
      <w:marBottom w:val="0"/>
      <w:divBdr>
        <w:top w:val="none" w:sz="0" w:space="0" w:color="auto"/>
        <w:left w:val="none" w:sz="0" w:space="0" w:color="auto"/>
        <w:bottom w:val="none" w:sz="0" w:space="0" w:color="auto"/>
        <w:right w:val="none" w:sz="0" w:space="0" w:color="auto"/>
      </w:divBdr>
    </w:div>
    <w:div w:id="1170175112">
      <w:bodyDiv w:val="1"/>
      <w:marLeft w:val="0"/>
      <w:marRight w:val="0"/>
      <w:marTop w:val="0"/>
      <w:marBottom w:val="0"/>
      <w:divBdr>
        <w:top w:val="none" w:sz="0" w:space="0" w:color="auto"/>
        <w:left w:val="none" w:sz="0" w:space="0" w:color="auto"/>
        <w:bottom w:val="none" w:sz="0" w:space="0" w:color="auto"/>
        <w:right w:val="none" w:sz="0" w:space="0" w:color="auto"/>
      </w:divBdr>
    </w:div>
    <w:div w:id="1227883100">
      <w:bodyDiv w:val="1"/>
      <w:marLeft w:val="0"/>
      <w:marRight w:val="0"/>
      <w:marTop w:val="0"/>
      <w:marBottom w:val="0"/>
      <w:divBdr>
        <w:top w:val="none" w:sz="0" w:space="0" w:color="auto"/>
        <w:left w:val="none" w:sz="0" w:space="0" w:color="auto"/>
        <w:bottom w:val="none" w:sz="0" w:space="0" w:color="auto"/>
        <w:right w:val="none" w:sz="0" w:space="0" w:color="auto"/>
      </w:divBdr>
    </w:div>
    <w:div w:id="1330212394">
      <w:bodyDiv w:val="1"/>
      <w:marLeft w:val="0"/>
      <w:marRight w:val="0"/>
      <w:marTop w:val="0"/>
      <w:marBottom w:val="0"/>
      <w:divBdr>
        <w:top w:val="none" w:sz="0" w:space="0" w:color="auto"/>
        <w:left w:val="none" w:sz="0" w:space="0" w:color="auto"/>
        <w:bottom w:val="none" w:sz="0" w:space="0" w:color="auto"/>
        <w:right w:val="none" w:sz="0" w:space="0" w:color="auto"/>
      </w:divBdr>
    </w:div>
    <w:div w:id="1376544573">
      <w:bodyDiv w:val="1"/>
      <w:marLeft w:val="0"/>
      <w:marRight w:val="0"/>
      <w:marTop w:val="0"/>
      <w:marBottom w:val="0"/>
      <w:divBdr>
        <w:top w:val="none" w:sz="0" w:space="0" w:color="auto"/>
        <w:left w:val="none" w:sz="0" w:space="0" w:color="auto"/>
        <w:bottom w:val="none" w:sz="0" w:space="0" w:color="auto"/>
        <w:right w:val="none" w:sz="0" w:space="0" w:color="auto"/>
      </w:divBdr>
    </w:div>
    <w:div w:id="1406027720">
      <w:bodyDiv w:val="1"/>
      <w:marLeft w:val="0"/>
      <w:marRight w:val="0"/>
      <w:marTop w:val="0"/>
      <w:marBottom w:val="0"/>
      <w:divBdr>
        <w:top w:val="none" w:sz="0" w:space="0" w:color="auto"/>
        <w:left w:val="none" w:sz="0" w:space="0" w:color="auto"/>
        <w:bottom w:val="none" w:sz="0" w:space="0" w:color="auto"/>
        <w:right w:val="none" w:sz="0" w:space="0" w:color="auto"/>
      </w:divBdr>
    </w:div>
    <w:div w:id="1407529577">
      <w:bodyDiv w:val="1"/>
      <w:marLeft w:val="0"/>
      <w:marRight w:val="0"/>
      <w:marTop w:val="0"/>
      <w:marBottom w:val="0"/>
      <w:divBdr>
        <w:top w:val="none" w:sz="0" w:space="0" w:color="auto"/>
        <w:left w:val="none" w:sz="0" w:space="0" w:color="auto"/>
        <w:bottom w:val="none" w:sz="0" w:space="0" w:color="auto"/>
        <w:right w:val="none" w:sz="0" w:space="0" w:color="auto"/>
      </w:divBdr>
    </w:div>
    <w:div w:id="1540585552">
      <w:bodyDiv w:val="1"/>
      <w:marLeft w:val="0"/>
      <w:marRight w:val="0"/>
      <w:marTop w:val="0"/>
      <w:marBottom w:val="0"/>
      <w:divBdr>
        <w:top w:val="none" w:sz="0" w:space="0" w:color="auto"/>
        <w:left w:val="none" w:sz="0" w:space="0" w:color="auto"/>
        <w:bottom w:val="none" w:sz="0" w:space="0" w:color="auto"/>
        <w:right w:val="none" w:sz="0" w:space="0" w:color="auto"/>
      </w:divBdr>
    </w:div>
    <w:div w:id="1556359226">
      <w:bodyDiv w:val="1"/>
      <w:marLeft w:val="0"/>
      <w:marRight w:val="0"/>
      <w:marTop w:val="0"/>
      <w:marBottom w:val="0"/>
      <w:divBdr>
        <w:top w:val="none" w:sz="0" w:space="0" w:color="auto"/>
        <w:left w:val="none" w:sz="0" w:space="0" w:color="auto"/>
        <w:bottom w:val="none" w:sz="0" w:space="0" w:color="auto"/>
        <w:right w:val="none" w:sz="0" w:space="0" w:color="auto"/>
      </w:divBdr>
    </w:div>
    <w:div w:id="1584413909">
      <w:bodyDiv w:val="1"/>
      <w:marLeft w:val="0"/>
      <w:marRight w:val="0"/>
      <w:marTop w:val="0"/>
      <w:marBottom w:val="0"/>
      <w:divBdr>
        <w:top w:val="none" w:sz="0" w:space="0" w:color="auto"/>
        <w:left w:val="none" w:sz="0" w:space="0" w:color="auto"/>
        <w:bottom w:val="none" w:sz="0" w:space="0" w:color="auto"/>
        <w:right w:val="none" w:sz="0" w:space="0" w:color="auto"/>
      </w:divBdr>
    </w:div>
    <w:div w:id="1662418424">
      <w:bodyDiv w:val="1"/>
      <w:marLeft w:val="0"/>
      <w:marRight w:val="0"/>
      <w:marTop w:val="0"/>
      <w:marBottom w:val="0"/>
      <w:divBdr>
        <w:top w:val="none" w:sz="0" w:space="0" w:color="auto"/>
        <w:left w:val="none" w:sz="0" w:space="0" w:color="auto"/>
        <w:bottom w:val="none" w:sz="0" w:space="0" w:color="auto"/>
        <w:right w:val="none" w:sz="0" w:space="0" w:color="auto"/>
      </w:divBdr>
    </w:div>
    <w:div w:id="1672374081">
      <w:bodyDiv w:val="1"/>
      <w:marLeft w:val="0"/>
      <w:marRight w:val="0"/>
      <w:marTop w:val="0"/>
      <w:marBottom w:val="0"/>
      <w:divBdr>
        <w:top w:val="none" w:sz="0" w:space="0" w:color="auto"/>
        <w:left w:val="none" w:sz="0" w:space="0" w:color="auto"/>
        <w:bottom w:val="none" w:sz="0" w:space="0" w:color="auto"/>
        <w:right w:val="none" w:sz="0" w:space="0" w:color="auto"/>
      </w:divBdr>
    </w:div>
    <w:div w:id="1719744070">
      <w:bodyDiv w:val="1"/>
      <w:marLeft w:val="0"/>
      <w:marRight w:val="0"/>
      <w:marTop w:val="0"/>
      <w:marBottom w:val="0"/>
      <w:divBdr>
        <w:top w:val="none" w:sz="0" w:space="0" w:color="auto"/>
        <w:left w:val="none" w:sz="0" w:space="0" w:color="auto"/>
        <w:bottom w:val="none" w:sz="0" w:space="0" w:color="auto"/>
        <w:right w:val="none" w:sz="0" w:space="0" w:color="auto"/>
      </w:divBdr>
    </w:div>
    <w:div w:id="1790930332">
      <w:bodyDiv w:val="1"/>
      <w:marLeft w:val="0"/>
      <w:marRight w:val="0"/>
      <w:marTop w:val="0"/>
      <w:marBottom w:val="0"/>
      <w:divBdr>
        <w:top w:val="none" w:sz="0" w:space="0" w:color="auto"/>
        <w:left w:val="none" w:sz="0" w:space="0" w:color="auto"/>
        <w:bottom w:val="none" w:sz="0" w:space="0" w:color="auto"/>
        <w:right w:val="none" w:sz="0" w:space="0" w:color="auto"/>
      </w:divBdr>
    </w:div>
    <w:div w:id="1880585470">
      <w:bodyDiv w:val="1"/>
      <w:marLeft w:val="0"/>
      <w:marRight w:val="0"/>
      <w:marTop w:val="0"/>
      <w:marBottom w:val="0"/>
      <w:divBdr>
        <w:top w:val="none" w:sz="0" w:space="0" w:color="auto"/>
        <w:left w:val="none" w:sz="0" w:space="0" w:color="auto"/>
        <w:bottom w:val="none" w:sz="0" w:space="0" w:color="auto"/>
        <w:right w:val="none" w:sz="0" w:space="0" w:color="auto"/>
      </w:divBdr>
    </w:div>
    <w:div w:id="1924997071">
      <w:bodyDiv w:val="1"/>
      <w:marLeft w:val="0"/>
      <w:marRight w:val="0"/>
      <w:marTop w:val="0"/>
      <w:marBottom w:val="0"/>
      <w:divBdr>
        <w:top w:val="none" w:sz="0" w:space="0" w:color="auto"/>
        <w:left w:val="none" w:sz="0" w:space="0" w:color="auto"/>
        <w:bottom w:val="none" w:sz="0" w:space="0" w:color="auto"/>
        <w:right w:val="none" w:sz="0" w:space="0" w:color="auto"/>
      </w:divBdr>
    </w:div>
    <w:div w:id="1991591451">
      <w:bodyDiv w:val="1"/>
      <w:marLeft w:val="0"/>
      <w:marRight w:val="0"/>
      <w:marTop w:val="0"/>
      <w:marBottom w:val="0"/>
      <w:divBdr>
        <w:top w:val="none" w:sz="0" w:space="0" w:color="auto"/>
        <w:left w:val="none" w:sz="0" w:space="0" w:color="auto"/>
        <w:bottom w:val="none" w:sz="0" w:space="0" w:color="auto"/>
        <w:right w:val="none" w:sz="0" w:space="0" w:color="auto"/>
      </w:divBdr>
    </w:div>
    <w:div w:id="1995912112">
      <w:bodyDiv w:val="1"/>
      <w:marLeft w:val="0"/>
      <w:marRight w:val="0"/>
      <w:marTop w:val="0"/>
      <w:marBottom w:val="0"/>
      <w:divBdr>
        <w:top w:val="none" w:sz="0" w:space="0" w:color="auto"/>
        <w:left w:val="none" w:sz="0" w:space="0" w:color="auto"/>
        <w:bottom w:val="none" w:sz="0" w:space="0" w:color="auto"/>
        <w:right w:val="none" w:sz="0" w:space="0" w:color="auto"/>
      </w:divBdr>
    </w:div>
    <w:div w:id="211447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uters.com/article/us-china-economy-growth/china-eyes-black-swans-gray-rhinos-as-2018-growth-seen-slowing-to-6-5-6-8-percent-media-idUSKBN1FI0AY?il=0" TargetMode="External"/><Relationship Id="rId13" Type="http://schemas.openxmlformats.org/officeDocument/2006/relationships/image" Target="media/image6.png"/><Relationship Id="rId18" Type="http://schemas.openxmlformats.org/officeDocument/2006/relationships/hyperlink" Target="http://www.keystonecharts.net" TargetMode="External"/><Relationship Id="rId3" Type="http://schemas.openxmlformats.org/officeDocument/2006/relationships/settings" Target="settings.xml"/><Relationship Id="rId21" Type="http://schemas.openxmlformats.org/officeDocument/2006/relationships/hyperlink" Target="http://www.cqg.com" TargetMode="External"/><Relationship Id="rId7" Type="http://schemas.openxmlformats.org/officeDocument/2006/relationships/hyperlink" Target="https://blog.pimco.com/en/2018/01/winning-the-cold-currency-war-the-us-dollar-and-the-euro" TargetMode="External"/><Relationship Id="rId12" Type="http://schemas.openxmlformats.org/officeDocument/2006/relationships/image" Target="media/image5.png"/><Relationship Id="rId17" Type="http://schemas.openxmlformats.org/officeDocument/2006/relationships/hyperlink" Target="http://www.keystonecharts.net" TargetMode="External"/><Relationship Id="rId2" Type="http://schemas.microsoft.com/office/2007/relationships/stylesWithEffects" Target="stylesWithEffects.xml"/><Relationship Id="rId16" Type="http://schemas.openxmlformats.org/officeDocument/2006/relationships/image" Target="media/image9.png"/><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cid:image002.jpg@01D3425F.D5C3C660"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dave@keystonecharts.net"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 Wienke</dc:creator>
  <cp:lastModifiedBy>D. Wienke</cp:lastModifiedBy>
  <cp:revision>3</cp:revision>
  <cp:lastPrinted>2017-10-11T12:40:00Z</cp:lastPrinted>
  <dcterms:created xsi:type="dcterms:W3CDTF">2018-02-02T03:14:00Z</dcterms:created>
  <dcterms:modified xsi:type="dcterms:W3CDTF">2018-02-09T20:38:00Z</dcterms:modified>
</cp:coreProperties>
</file>