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C90" w:rsidRDefault="00554C90" w:rsidP="00554C90">
      <w:pPr>
        <w:jc w:val="center"/>
        <w:rPr>
          <w:rFonts w:ascii="Arial" w:hAnsi="Arial" w:cs="Arial"/>
          <w:sz w:val="18"/>
          <w:szCs w:val="18"/>
        </w:rPr>
      </w:pPr>
      <w:proofErr w:type="gramStart"/>
      <w:r>
        <w:rPr>
          <w:rFonts w:ascii="Arial" w:hAnsi="Arial" w:cs="Arial"/>
          <w:sz w:val="18"/>
          <w:szCs w:val="18"/>
        </w:rPr>
        <w:t>Today’s key technical levels in equities, rates, currencies, and commodities.</w:t>
      </w:r>
      <w:proofErr w:type="gramEnd"/>
      <w:r>
        <w:rPr>
          <w:rFonts w:ascii="Arial" w:hAnsi="Arial" w:cs="Arial"/>
          <w:sz w:val="18"/>
          <w:szCs w:val="18"/>
        </w:rPr>
        <w:t xml:space="preserve"> </w:t>
      </w:r>
    </w:p>
    <w:p w:rsidR="00554C90" w:rsidRDefault="004E2EDD" w:rsidP="00D95121">
      <w:pPr>
        <w:jc w:val="center"/>
        <w:rPr>
          <w:rFonts w:ascii="Arial" w:hAnsi="Arial" w:cs="Arial"/>
          <w:sz w:val="18"/>
          <w:szCs w:val="18"/>
        </w:rPr>
      </w:pPr>
      <w:r>
        <w:rPr>
          <w:rFonts w:ascii="Arial" w:hAnsi="Arial" w:cs="Arial"/>
          <w:sz w:val="18"/>
          <w:szCs w:val="18"/>
        </w:rPr>
        <w:t>For best results in Word, click View tab then click Web Layout</w:t>
      </w:r>
    </w:p>
    <w:p w:rsidR="00554C90" w:rsidRDefault="00554C90" w:rsidP="00554C90"/>
    <w:tbl>
      <w:tblPr>
        <w:tblW w:w="10448" w:type="dxa"/>
        <w:jc w:val="center"/>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0530"/>
      </w:tblGrid>
      <w:tr w:rsidR="00554C90" w:rsidTr="00A75EBB">
        <w:trPr>
          <w:trHeight w:val="12224"/>
          <w:tblCellSpacing w:w="0" w:type="dxa"/>
          <w:jc w:val="center"/>
        </w:trPr>
        <w:tc>
          <w:tcPr>
            <w:tcW w:w="10448" w:type="dxa"/>
            <w:tcBorders>
              <w:top w:val="nil"/>
              <w:left w:val="nil"/>
              <w:bottom w:val="nil"/>
              <w:right w:val="nil"/>
            </w:tcBorders>
            <w:shd w:val="clear" w:color="auto" w:fill="FFFFFF"/>
            <w:tcMar>
              <w:top w:w="150" w:type="dxa"/>
              <w:left w:w="300" w:type="dxa"/>
              <w:bottom w:w="0" w:type="dxa"/>
              <w:right w:w="300" w:type="dxa"/>
            </w:tcMar>
            <w:vAlign w:val="center"/>
          </w:tcPr>
          <w:p w:rsidR="00554C90" w:rsidRDefault="00554C90">
            <w:pPr>
              <w:spacing w:before="100" w:beforeAutospacing="1" w:after="100" w:afterAutospacing="1"/>
              <w:jc w:val="center"/>
              <w:rPr>
                <w:rFonts w:ascii="Calibri Light" w:hAnsi="Calibri Light" w:cs="Calibri Light"/>
                <w:color w:val="000099"/>
                <w:sz w:val="22"/>
                <w:szCs w:val="22"/>
              </w:rPr>
            </w:pPr>
            <w:r>
              <w:rPr>
                <w:rFonts w:ascii="Calibri Light" w:hAnsi="Calibri Light" w:cs="Calibri Light"/>
                <w:noProof/>
                <w:color w:val="000099"/>
                <w:sz w:val="22"/>
                <w:szCs w:val="22"/>
              </w:rPr>
              <w:drawing>
                <wp:inline distT="0" distB="0" distL="0" distR="0" wp14:anchorId="15029F5E" wp14:editId="20A8A235">
                  <wp:extent cx="6111303" cy="1771650"/>
                  <wp:effectExtent l="0" t="0" r="3810" b="0"/>
                  <wp:docPr id="43" name="Picture 43" descr="cid:image002.jpg@01D3425F.D5C3C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425F.D5C3C6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121938" cy="1774733"/>
                          </a:xfrm>
                          <a:prstGeom prst="rect">
                            <a:avLst/>
                          </a:prstGeom>
                          <a:noFill/>
                          <a:ln>
                            <a:noFill/>
                          </a:ln>
                        </pic:spPr>
                      </pic:pic>
                    </a:graphicData>
                  </a:graphic>
                </wp:inline>
              </w:drawing>
            </w:r>
          </w:p>
          <w:p w:rsidR="00554C90" w:rsidRDefault="00535133">
            <w:pPr>
              <w:jc w:val="center"/>
              <w:rPr>
                <w:rFonts w:ascii="Calibri" w:eastAsia="Times New Roman" w:hAnsi="Calibri" w:cs="Calibri"/>
                <w:b/>
                <w:bCs/>
                <w:color w:val="1F497D"/>
                <w:sz w:val="22"/>
                <w:szCs w:val="22"/>
              </w:rPr>
            </w:pPr>
            <w:r>
              <w:rPr>
                <w:rFonts w:ascii="Calibri" w:eastAsia="Times New Roman" w:hAnsi="Calibri" w:cs="Calibri"/>
                <w:b/>
                <w:bCs/>
                <w:color w:val="1F497D"/>
                <w:sz w:val="22"/>
                <w:szCs w:val="22"/>
              </w:rPr>
              <w:pict>
                <v:rect id="_x0000_i1025" style="width:561.2pt;height:.75pt" o:hrpct="960" o:hralign="center" o:hrstd="t" o:hrnoshade="t" o:hr="t" fillcolor="#323e4f" stroked="f"/>
              </w:pict>
            </w:r>
          </w:p>
          <w:p w:rsidR="00267D9A" w:rsidRDefault="00267D9A" w:rsidP="00044155">
            <w:pPr>
              <w:rPr>
                <w:rFonts w:ascii="Arial" w:hAnsi="Arial" w:cs="Arial"/>
                <w:sz w:val="22"/>
                <w:szCs w:val="22"/>
              </w:rPr>
            </w:pPr>
          </w:p>
          <w:p w:rsidR="00A75EBB" w:rsidRPr="00A75EBB" w:rsidRDefault="00535133" w:rsidP="00A75EBB">
            <w:pPr>
              <w:rPr>
                <w:rFonts w:ascii="Arial" w:hAnsi="Arial" w:cs="Arial"/>
                <w:color w:val="3B3838"/>
                <w:sz w:val="20"/>
                <w:szCs w:val="20"/>
              </w:rPr>
            </w:pPr>
            <w:r>
              <w:rPr>
                <w:rFonts w:ascii="Arial" w:hAnsi="Arial" w:cs="Arial"/>
                <w:color w:val="3B3838"/>
                <w:sz w:val="20"/>
                <w:szCs w:val="20"/>
              </w:rPr>
              <w:t>February 7, 2018</w:t>
            </w:r>
            <w:bookmarkStart w:id="0" w:name="_GoBack"/>
            <w:bookmarkEnd w:id="0"/>
          </w:p>
          <w:p w:rsidR="00C01E19" w:rsidRDefault="00C01E19" w:rsidP="00D71610">
            <w:pPr>
              <w:rPr>
                <w:rFonts w:ascii="Arial" w:hAnsi="Arial" w:cs="Arial"/>
                <w:color w:val="3B3838"/>
                <w:sz w:val="20"/>
                <w:szCs w:val="20"/>
              </w:rPr>
            </w:pPr>
          </w:p>
          <w:p w:rsidR="00D71610" w:rsidRDefault="00D71610" w:rsidP="00044155">
            <w:pPr>
              <w:rPr>
                <w:rFonts w:ascii="Arial" w:hAnsi="Arial" w:cs="Arial"/>
                <w:b/>
                <w:bCs/>
                <w:sz w:val="22"/>
                <w:szCs w:val="22"/>
              </w:rPr>
            </w:pPr>
          </w:p>
          <w:p w:rsidR="001730E7" w:rsidRDefault="001730E7" w:rsidP="001730E7">
            <w:pPr>
              <w:spacing w:line="276" w:lineRule="auto"/>
              <w:rPr>
                <w:rFonts w:ascii="Arial" w:hAnsi="Arial" w:cs="Arial"/>
                <w:bCs/>
                <w:color w:val="3B3838"/>
                <w:sz w:val="20"/>
                <w:szCs w:val="20"/>
              </w:rPr>
            </w:pPr>
            <w:r>
              <w:rPr>
                <w:rFonts w:ascii="Arial" w:hAnsi="Arial" w:cs="Arial"/>
                <w:b/>
                <w:bCs/>
                <w:color w:val="3B3838"/>
              </w:rPr>
              <w:t xml:space="preserve">TODAY’S GAME PLAN:           </w:t>
            </w:r>
          </w:p>
          <w:p w:rsidR="001730E7" w:rsidRDefault="001730E7" w:rsidP="001730E7">
            <w:pPr>
              <w:spacing w:line="276" w:lineRule="auto"/>
              <w:rPr>
                <w:rFonts w:ascii="Arial" w:hAnsi="Arial" w:cs="Arial"/>
                <w:color w:val="3B3838"/>
                <w:sz w:val="20"/>
                <w:szCs w:val="20"/>
              </w:rPr>
            </w:pPr>
          </w:p>
          <w:tbl>
            <w:tblPr>
              <w:tblStyle w:val="TableGrid"/>
              <w:tblW w:w="0" w:type="auto"/>
              <w:tblInd w:w="0" w:type="dxa"/>
              <w:tblLook w:val="04A0" w:firstRow="1" w:lastRow="0" w:firstColumn="1" w:lastColumn="0" w:noHBand="0" w:noVBand="1"/>
            </w:tblPr>
            <w:tblGrid>
              <w:gridCol w:w="1567"/>
              <w:gridCol w:w="8317"/>
            </w:tblGrid>
            <w:tr w:rsidR="001730E7" w:rsidTr="001730E7">
              <w:trPr>
                <w:trHeight w:val="377"/>
              </w:trPr>
              <w:tc>
                <w:tcPr>
                  <w:tcW w:w="1567" w:type="dxa"/>
                  <w:tcBorders>
                    <w:top w:val="single" w:sz="4" w:space="0" w:color="auto"/>
                    <w:left w:val="single" w:sz="4" w:space="0" w:color="auto"/>
                    <w:bottom w:val="single" w:sz="4" w:space="0" w:color="auto"/>
                    <w:right w:val="single" w:sz="4" w:space="0" w:color="auto"/>
                  </w:tcBorders>
                  <w:vAlign w:val="center"/>
                  <w:hideMark/>
                </w:tcPr>
                <w:p w:rsidR="001730E7" w:rsidRDefault="001730E7">
                  <w:pPr>
                    <w:spacing w:line="276" w:lineRule="auto"/>
                    <w:rPr>
                      <w:rFonts w:ascii="Arial" w:eastAsiaTheme="minorHAnsi" w:hAnsi="Arial" w:cs="Arial"/>
                      <w:bCs/>
                      <w:color w:val="3B3838"/>
                      <w:sz w:val="20"/>
                      <w:szCs w:val="20"/>
                    </w:rPr>
                  </w:pPr>
                  <w:r>
                    <w:rPr>
                      <w:rFonts w:ascii="Arial" w:hAnsi="Arial" w:cs="Arial"/>
                      <w:bCs/>
                      <w:color w:val="3B3838"/>
                      <w:sz w:val="20"/>
                      <w:szCs w:val="20"/>
                    </w:rPr>
                    <w:t>EQUITIES</w:t>
                  </w:r>
                </w:p>
              </w:tc>
              <w:tc>
                <w:tcPr>
                  <w:tcW w:w="8317" w:type="dxa"/>
                  <w:tcBorders>
                    <w:top w:val="single" w:sz="4" w:space="0" w:color="auto"/>
                    <w:left w:val="single" w:sz="4" w:space="0" w:color="auto"/>
                    <w:bottom w:val="single" w:sz="4" w:space="0" w:color="auto"/>
                    <w:right w:val="single" w:sz="4" w:space="0" w:color="auto"/>
                  </w:tcBorders>
                  <w:hideMark/>
                </w:tcPr>
                <w:p w:rsidR="001730E7" w:rsidRDefault="001730E7">
                  <w:pPr>
                    <w:spacing w:line="276" w:lineRule="auto"/>
                    <w:rPr>
                      <w:rFonts w:ascii="Arial" w:eastAsiaTheme="minorHAnsi" w:hAnsi="Arial" w:cs="Arial"/>
                      <w:bCs/>
                      <w:color w:val="3B3838"/>
                      <w:sz w:val="20"/>
                      <w:szCs w:val="20"/>
                    </w:rPr>
                  </w:pPr>
                  <w:r>
                    <w:rPr>
                      <w:rFonts w:ascii="Arial" w:hAnsi="Arial" w:cs="Arial"/>
                      <w:bCs/>
                      <w:color w:val="3B3838"/>
                      <w:sz w:val="20"/>
                      <w:szCs w:val="20"/>
                    </w:rPr>
                    <w:t xml:space="preserve">SPX retraced .382 of recent decline at 2700 and using as pivotal pt for now. ESH has 2677 session vwap as initial key. Looking for SPX to give a test of its 200dma, but could see momentum above 2700. Positives:  QQQ held pivotal support and R2000 Index spot holds its 200dma, and ESH held its 200dma. NQH would likely see some weakness today below 6560. Key s/t resistance at 6747. </w:t>
                  </w:r>
                </w:p>
              </w:tc>
            </w:tr>
            <w:tr w:rsidR="001730E7" w:rsidTr="001730E7">
              <w:tc>
                <w:tcPr>
                  <w:tcW w:w="1567" w:type="dxa"/>
                  <w:tcBorders>
                    <w:top w:val="single" w:sz="4" w:space="0" w:color="auto"/>
                    <w:left w:val="single" w:sz="4" w:space="0" w:color="auto"/>
                    <w:bottom w:val="single" w:sz="4" w:space="0" w:color="auto"/>
                    <w:right w:val="single" w:sz="4" w:space="0" w:color="auto"/>
                  </w:tcBorders>
                  <w:vAlign w:val="center"/>
                  <w:hideMark/>
                </w:tcPr>
                <w:p w:rsidR="001730E7" w:rsidRDefault="001730E7">
                  <w:pPr>
                    <w:spacing w:line="276" w:lineRule="auto"/>
                    <w:rPr>
                      <w:rFonts w:ascii="Arial" w:eastAsiaTheme="minorHAnsi" w:hAnsi="Arial" w:cs="Arial"/>
                      <w:bCs/>
                      <w:color w:val="3B3838"/>
                      <w:sz w:val="20"/>
                      <w:szCs w:val="20"/>
                    </w:rPr>
                  </w:pPr>
                  <w:r>
                    <w:rPr>
                      <w:rFonts w:ascii="Arial" w:hAnsi="Arial" w:cs="Arial"/>
                      <w:bCs/>
                      <w:color w:val="3B3838"/>
                      <w:sz w:val="20"/>
                      <w:szCs w:val="20"/>
                    </w:rPr>
                    <w:t>RATES</w:t>
                  </w:r>
                </w:p>
              </w:tc>
              <w:tc>
                <w:tcPr>
                  <w:tcW w:w="8317" w:type="dxa"/>
                  <w:tcBorders>
                    <w:top w:val="single" w:sz="4" w:space="0" w:color="auto"/>
                    <w:left w:val="single" w:sz="4" w:space="0" w:color="auto"/>
                    <w:bottom w:val="single" w:sz="4" w:space="0" w:color="auto"/>
                    <w:right w:val="single" w:sz="4" w:space="0" w:color="auto"/>
                  </w:tcBorders>
                  <w:hideMark/>
                </w:tcPr>
                <w:p w:rsidR="001730E7" w:rsidRDefault="001730E7">
                  <w:pPr>
                    <w:spacing w:line="276" w:lineRule="auto"/>
                    <w:rPr>
                      <w:rFonts w:ascii="Arial" w:eastAsiaTheme="minorHAnsi" w:hAnsi="Arial" w:cs="Arial"/>
                      <w:bCs/>
                      <w:color w:val="3B3838"/>
                      <w:sz w:val="20"/>
                      <w:szCs w:val="20"/>
                    </w:rPr>
                  </w:pPr>
                  <w:r>
                    <w:rPr>
                      <w:rFonts w:ascii="Arial" w:hAnsi="Arial" w:cs="Arial"/>
                      <w:bCs/>
                      <w:color w:val="3B3838"/>
                      <w:sz w:val="20"/>
                      <w:szCs w:val="20"/>
                    </w:rPr>
                    <w:t xml:space="preserve">USH8 touched key resist and looking for next leg lower move; a break of 145-15 area (s/t .618) would see some downside momentum potential. TYH has 121-00 (s/t .786) as initial key support today. Neg below 121-23 today. </w:t>
                  </w:r>
                </w:p>
              </w:tc>
            </w:tr>
            <w:tr w:rsidR="001730E7" w:rsidTr="001730E7">
              <w:tc>
                <w:tcPr>
                  <w:tcW w:w="1567" w:type="dxa"/>
                  <w:tcBorders>
                    <w:top w:val="single" w:sz="4" w:space="0" w:color="auto"/>
                    <w:left w:val="single" w:sz="4" w:space="0" w:color="auto"/>
                    <w:bottom w:val="single" w:sz="4" w:space="0" w:color="auto"/>
                    <w:right w:val="single" w:sz="4" w:space="0" w:color="auto"/>
                  </w:tcBorders>
                  <w:vAlign w:val="center"/>
                  <w:hideMark/>
                </w:tcPr>
                <w:p w:rsidR="001730E7" w:rsidRDefault="001730E7">
                  <w:pPr>
                    <w:spacing w:line="276" w:lineRule="auto"/>
                    <w:rPr>
                      <w:rFonts w:ascii="Arial" w:eastAsiaTheme="minorHAnsi" w:hAnsi="Arial" w:cs="Arial"/>
                      <w:bCs/>
                      <w:color w:val="3B3838"/>
                      <w:sz w:val="20"/>
                      <w:szCs w:val="20"/>
                    </w:rPr>
                  </w:pPr>
                  <w:r>
                    <w:rPr>
                      <w:rFonts w:ascii="Arial" w:hAnsi="Arial" w:cs="Arial"/>
                      <w:bCs/>
                      <w:color w:val="3B3838"/>
                      <w:sz w:val="20"/>
                      <w:szCs w:val="20"/>
                    </w:rPr>
                    <w:t>ENERGY</w:t>
                  </w:r>
                </w:p>
              </w:tc>
              <w:tc>
                <w:tcPr>
                  <w:tcW w:w="8317" w:type="dxa"/>
                  <w:tcBorders>
                    <w:top w:val="single" w:sz="4" w:space="0" w:color="auto"/>
                    <w:left w:val="single" w:sz="4" w:space="0" w:color="auto"/>
                    <w:bottom w:val="single" w:sz="4" w:space="0" w:color="auto"/>
                    <w:right w:val="single" w:sz="4" w:space="0" w:color="auto"/>
                  </w:tcBorders>
                  <w:hideMark/>
                </w:tcPr>
                <w:p w:rsidR="001730E7" w:rsidRDefault="001730E7">
                  <w:pPr>
                    <w:spacing w:line="276" w:lineRule="auto"/>
                    <w:rPr>
                      <w:rFonts w:ascii="Arial" w:eastAsiaTheme="minorHAnsi" w:hAnsi="Arial" w:cs="Arial"/>
                      <w:bCs/>
                      <w:color w:val="3B3838"/>
                      <w:sz w:val="20"/>
                      <w:szCs w:val="20"/>
                    </w:rPr>
                  </w:pPr>
                  <w:r>
                    <w:rPr>
                      <w:rFonts w:ascii="Arial" w:hAnsi="Arial" w:cs="Arial"/>
                      <w:bCs/>
                      <w:color w:val="3B3838"/>
                      <w:sz w:val="20"/>
                      <w:szCs w:val="20"/>
                    </w:rPr>
                    <w:t xml:space="preserve">CLH8 is negative short term below 64.50 area and 62.63* initial key support, looking for $61 area. Commodity Index holds long term resistance area. </w:t>
                  </w:r>
                </w:p>
              </w:tc>
            </w:tr>
            <w:tr w:rsidR="001730E7" w:rsidTr="001730E7">
              <w:tc>
                <w:tcPr>
                  <w:tcW w:w="1567" w:type="dxa"/>
                  <w:tcBorders>
                    <w:top w:val="single" w:sz="4" w:space="0" w:color="auto"/>
                    <w:left w:val="single" w:sz="4" w:space="0" w:color="auto"/>
                    <w:bottom w:val="single" w:sz="4" w:space="0" w:color="auto"/>
                    <w:right w:val="single" w:sz="4" w:space="0" w:color="auto"/>
                  </w:tcBorders>
                  <w:vAlign w:val="center"/>
                  <w:hideMark/>
                </w:tcPr>
                <w:p w:rsidR="001730E7" w:rsidRDefault="001730E7">
                  <w:pPr>
                    <w:spacing w:line="276" w:lineRule="auto"/>
                    <w:rPr>
                      <w:rFonts w:ascii="Arial" w:eastAsiaTheme="minorHAnsi" w:hAnsi="Arial" w:cs="Arial"/>
                      <w:bCs/>
                      <w:color w:val="3B3838"/>
                      <w:sz w:val="20"/>
                      <w:szCs w:val="20"/>
                    </w:rPr>
                  </w:pPr>
                  <w:r>
                    <w:rPr>
                      <w:rFonts w:ascii="Arial" w:hAnsi="Arial" w:cs="Arial"/>
                      <w:bCs/>
                      <w:color w:val="3B3838"/>
                      <w:sz w:val="20"/>
                      <w:szCs w:val="20"/>
                    </w:rPr>
                    <w:t>METALS</w:t>
                  </w:r>
                </w:p>
              </w:tc>
              <w:tc>
                <w:tcPr>
                  <w:tcW w:w="8317" w:type="dxa"/>
                  <w:tcBorders>
                    <w:top w:val="single" w:sz="4" w:space="0" w:color="auto"/>
                    <w:left w:val="single" w:sz="4" w:space="0" w:color="auto"/>
                    <w:bottom w:val="single" w:sz="4" w:space="0" w:color="auto"/>
                    <w:right w:val="single" w:sz="4" w:space="0" w:color="auto"/>
                  </w:tcBorders>
                  <w:hideMark/>
                </w:tcPr>
                <w:p w:rsidR="001730E7" w:rsidRDefault="001730E7">
                  <w:pPr>
                    <w:spacing w:line="276" w:lineRule="auto"/>
                    <w:rPr>
                      <w:rFonts w:ascii="Arial" w:eastAsiaTheme="minorHAnsi" w:hAnsi="Arial" w:cs="Arial"/>
                      <w:bCs/>
                      <w:color w:val="3B3838"/>
                      <w:sz w:val="20"/>
                      <w:szCs w:val="20"/>
                    </w:rPr>
                  </w:pPr>
                  <w:r>
                    <w:rPr>
                      <w:rFonts w:ascii="Arial" w:hAnsi="Arial" w:cs="Arial"/>
                      <w:bCs/>
                      <w:color w:val="3B3838"/>
                      <w:sz w:val="20"/>
                      <w:szCs w:val="20"/>
                    </w:rPr>
                    <w:t>Gold is vulnerable and a break of 1317-22 area should see momentum. SIH has 16.425 as s/t pivotal support and would lead lower below it. Copper may slip below 3.1650 tl</w:t>
                  </w:r>
                </w:p>
              </w:tc>
            </w:tr>
            <w:tr w:rsidR="001730E7" w:rsidTr="001730E7">
              <w:tc>
                <w:tcPr>
                  <w:tcW w:w="1567" w:type="dxa"/>
                  <w:tcBorders>
                    <w:top w:val="single" w:sz="4" w:space="0" w:color="auto"/>
                    <w:left w:val="single" w:sz="4" w:space="0" w:color="auto"/>
                    <w:bottom w:val="single" w:sz="4" w:space="0" w:color="auto"/>
                    <w:right w:val="single" w:sz="4" w:space="0" w:color="auto"/>
                  </w:tcBorders>
                  <w:vAlign w:val="center"/>
                  <w:hideMark/>
                </w:tcPr>
                <w:p w:rsidR="001730E7" w:rsidRDefault="001730E7">
                  <w:pPr>
                    <w:spacing w:line="276" w:lineRule="auto"/>
                    <w:rPr>
                      <w:rFonts w:ascii="Arial" w:eastAsiaTheme="minorHAnsi" w:hAnsi="Arial" w:cs="Arial"/>
                      <w:bCs/>
                      <w:color w:val="3B3838"/>
                      <w:sz w:val="20"/>
                      <w:szCs w:val="20"/>
                    </w:rPr>
                  </w:pPr>
                  <w:r>
                    <w:rPr>
                      <w:rFonts w:ascii="Arial" w:hAnsi="Arial" w:cs="Arial"/>
                      <w:bCs/>
                      <w:color w:val="3B3838"/>
                      <w:sz w:val="20"/>
                      <w:szCs w:val="20"/>
                    </w:rPr>
                    <w:t>CURRENCIES</w:t>
                  </w:r>
                </w:p>
              </w:tc>
              <w:tc>
                <w:tcPr>
                  <w:tcW w:w="8317" w:type="dxa"/>
                  <w:tcBorders>
                    <w:top w:val="single" w:sz="4" w:space="0" w:color="auto"/>
                    <w:left w:val="single" w:sz="4" w:space="0" w:color="auto"/>
                    <w:bottom w:val="single" w:sz="4" w:space="0" w:color="auto"/>
                    <w:right w:val="single" w:sz="4" w:space="0" w:color="auto"/>
                  </w:tcBorders>
                  <w:hideMark/>
                </w:tcPr>
                <w:p w:rsidR="001730E7" w:rsidRDefault="001730E7">
                  <w:pPr>
                    <w:spacing w:line="276" w:lineRule="auto"/>
                    <w:rPr>
                      <w:rFonts w:ascii="Arial" w:eastAsiaTheme="minorHAnsi" w:hAnsi="Arial" w:cs="Arial"/>
                      <w:bCs/>
                      <w:color w:val="3B3838"/>
                      <w:sz w:val="20"/>
                      <w:szCs w:val="20"/>
                    </w:rPr>
                  </w:pPr>
                  <w:r>
                    <w:rPr>
                      <w:rFonts w:ascii="Arial" w:hAnsi="Arial" w:cs="Arial"/>
                      <w:bCs/>
                      <w:color w:val="3B3838"/>
                      <w:sz w:val="20"/>
                      <w:szCs w:val="20"/>
                    </w:rPr>
                    <w:t xml:space="preserve">US$ is positive s/t above 89.280 looking for 90.740, but will be choppy. GBPUSD has 1.3850 </w:t>
                  </w:r>
                  <w:proofErr w:type="gramStart"/>
                  <w:r>
                    <w:rPr>
                      <w:rFonts w:ascii="Arial" w:hAnsi="Arial" w:cs="Arial"/>
                      <w:bCs/>
                      <w:color w:val="3B3838"/>
                      <w:sz w:val="20"/>
                      <w:szCs w:val="20"/>
                    </w:rPr>
                    <w:t>area</w:t>
                  </w:r>
                  <w:proofErr w:type="gramEnd"/>
                  <w:r>
                    <w:rPr>
                      <w:rFonts w:ascii="Arial" w:hAnsi="Arial" w:cs="Arial"/>
                      <w:bCs/>
                      <w:color w:val="3B3838"/>
                      <w:sz w:val="20"/>
                      <w:szCs w:val="20"/>
                    </w:rPr>
                    <w:t xml:space="preserve"> as pivotal support. USDCAD should test 50dma at 1.2602 and use as pivotal pt. EU6 has 1.23425 (.382) as pivotal support with momentum potential below it. </w:t>
                  </w:r>
                </w:p>
              </w:tc>
            </w:tr>
          </w:tbl>
          <w:p w:rsidR="001730E7" w:rsidRDefault="001730E7" w:rsidP="001730E7">
            <w:pPr>
              <w:spacing w:before="100" w:beforeAutospacing="1" w:after="100" w:afterAutospacing="1"/>
              <w:rPr>
                <w:rFonts w:ascii="Arial" w:hAnsi="Arial" w:cs="Arial"/>
                <w:sz w:val="20"/>
                <w:szCs w:val="20"/>
              </w:rPr>
            </w:pPr>
            <w:r>
              <w:rPr>
                <w:rFonts w:ascii="Arial" w:hAnsi="Arial" w:cs="Arial"/>
                <w:b/>
                <w:bCs/>
                <w:color w:val="3B3838"/>
              </w:rPr>
              <w:t xml:space="preserve">TRADE IDEAS:   </w:t>
            </w:r>
          </w:p>
          <w:p w:rsidR="001730E7" w:rsidRDefault="001730E7" w:rsidP="001730E7">
            <w:pPr>
              <w:spacing w:before="100" w:beforeAutospacing="1" w:after="100" w:afterAutospacing="1" w:line="276" w:lineRule="auto"/>
              <w:rPr>
                <w:rFonts w:ascii="Arial" w:hAnsi="Arial" w:cs="Arial"/>
                <w:bCs/>
                <w:color w:val="3B3838"/>
                <w:sz w:val="20"/>
                <w:szCs w:val="20"/>
              </w:rPr>
            </w:pPr>
            <w:r>
              <w:rPr>
                <w:rFonts w:ascii="Arial" w:hAnsi="Arial" w:cs="Arial"/>
                <w:b/>
                <w:bCs/>
                <w:color w:val="3B3838"/>
                <w:sz w:val="22"/>
                <w:szCs w:val="22"/>
              </w:rPr>
              <w:t>New Ideas: </w:t>
            </w:r>
            <w:r>
              <w:rPr>
                <w:rFonts w:ascii="Arial" w:hAnsi="Arial" w:cs="Arial"/>
                <w:bCs/>
                <w:color w:val="3B3838"/>
                <w:sz w:val="20"/>
                <w:szCs w:val="20"/>
              </w:rPr>
              <w:t xml:space="preserve">  </w:t>
            </w:r>
          </w:p>
          <w:tbl>
            <w:tblPr>
              <w:tblW w:w="9800" w:type="dxa"/>
              <w:tblLook w:val="04A0" w:firstRow="1" w:lastRow="0" w:firstColumn="1" w:lastColumn="0" w:noHBand="0" w:noVBand="1"/>
            </w:tblPr>
            <w:tblGrid>
              <w:gridCol w:w="1180"/>
              <w:gridCol w:w="159"/>
              <w:gridCol w:w="1741"/>
              <w:gridCol w:w="1180"/>
              <w:gridCol w:w="1040"/>
              <w:gridCol w:w="1060"/>
              <w:gridCol w:w="960"/>
              <w:gridCol w:w="2480"/>
            </w:tblGrid>
            <w:tr w:rsidR="001730E7" w:rsidTr="001730E7">
              <w:trPr>
                <w:trHeight w:val="300"/>
              </w:trPr>
              <w:tc>
                <w:tcPr>
                  <w:tcW w:w="1180" w:type="dxa"/>
                  <w:tcBorders>
                    <w:top w:val="single" w:sz="4" w:space="0" w:color="auto"/>
                    <w:left w:val="single" w:sz="4" w:space="0" w:color="auto"/>
                    <w:bottom w:val="single" w:sz="4" w:space="0" w:color="auto"/>
                    <w:right w:val="single" w:sz="4" w:space="0" w:color="auto"/>
                  </w:tcBorders>
                  <w:noWrap/>
                  <w:vAlign w:val="bottom"/>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Date</w:t>
                  </w:r>
                </w:p>
              </w:tc>
              <w:tc>
                <w:tcPr>
                  <w:tcW w:w="1900" w:type="dxa"/>
                  <w:gridSpan w:val="2"/>
                  <w:tcBorders>
                    <w:top w:val="single" w:sz="4" w:space="0" w:color="auto"/>
                    <w:left w:val="nil"/>
                    <w:bottom w:val="single" w:sz="4" w:space="0" w:color="auto"/>
                    <w:right w:val="single" w:sz="4" w:space="0" w:color="auto"/>
                  </w:tcBorders>
                  <w:noWrap/>
                  <w:vAlign w:val="bottom"/>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Commodity</w:t>
                  </w:r>
                </w:p>
              </w:tc>
              <w:tc>
                <w:tcPr>
                  <w:tcW w:w="1180" w:type="dxa"/>
                  <w:tcBorders>
                    <w:top w:val="single" w:sz="4" w:space="0" w:color="auto"/>
                    <w:left w:val="nil"/>
                    <w:bottom w:val="single" w:sz="4" w:space="0" w:color="auto"/>
                    <w:right w:val="single" w:sz="4" w:space="0" w:color="auto"/>
                  </w:tcBorders>
                  <w:noWrap/>
                  <w:vAlign w:val="bottom"/>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Buy</w:t>
                  </w:r>
                </w:p>
              </w:tc>
              <w:tc>
                <w:tcPr>
                  <w:tcW w:w="1040" w:type="dxa"/>
                  <w:tcBorders>
                    <w:top w:val="single" w:sz="4" w:space="0" w:color="auto"/>
                    <w:left w:val="nil"/>
                    <w:bottom w:val="single" w:sz="4" w:space="0" w:color="auto"/>
                    <w:right w:val="single" w:sz="4" w:space="0" w:color="auto"/>
                  </w:tcBorders>
                  <w:noWrap/>
                  <w:vAlign w:val="bottom"/>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Sell</w:t>
                  </w:r>
                </w:p>
              </w:tc>
              <w:tc>
                <w:tcPr>
                  <w:tcW w:w="1060" w:type="dxa"/>
                  <w:tcBorders>
                    <w:top w:val="single" w:sz="4" w:space="0" w:color="auto"/>
                    <w:left w:val="nil"/>
                    <w:bottom w:val="single" w:sz="4" w:space="0" w:color="auto"/>
                    <w:right w:val="single" w:sz="4" w:space="0" w:color="auto"/>
                  </w:tcBorders>
                  <w:noWrap/>
                  <w:vAlign w:val="bottom"/>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Stop</w:t>
                  </w:r>
                </w:p>
              </w:tc>
              <w:tc>
                <w:tcPr>
                  <w:tcW w:w="960" w:type="dxa"/>
                  <w:tcBorders>
                    <w:top w:val="single" w:sz="4" w:space="0" w:color="auto"/>
                    <w:left w:val="nil"/>
                    <w:bottom w:val="single" w:sz="4" w:space="0" w:color="auto"/>
                    <w:right w:val="single" w:sz="4" w:space="0" w:color="auto"/>
                  </w:tcBorders>
                  <w:noWrap/>
                  <w:vAlign w:val="bottom"/>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Target</w:t>
                  </w:r>
                </w:p>
              </w:tc>
              <w:tc>
                <w:tcPr>
                  <w:tcW w:w="2480" w:type="dxa"/>
                  <w:tcBorders>
                    <w:top w:val="single" w:sz="4" w:space="0" w:color="auto"/>
                    <w:left w:val="nil"/>
                    <w:bottom w:val="single" w:sz="4" w:space="0" w:color="auto"/>
                    <w:right w:val="single" w:sz="4" w:space="0" w:color="auto"/>
                  </w:tcBorders>
                  <w:shd w:val="clear" w:color="auto" w:fill="F2F2F2"/>
                  <w:noWrap/>
                  <w:vAlign w:val="bottom"/>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Notes</w:t>
                  </w:r>
                </w:p>
              </w:tc>
            </w:tr>
            <w:tr w:rsidR="001730E7" w:rsidTr="001730E7">
              <w:trPr>
                <w:trHeight w:val="300"/>
              </w:trPr>
              <w:tc>
                <w:tcPr>
                  <w:tcW w:w="1180" w:type="dxa"/>
                  <w:tcBorders>
                    <w:top w:val="nil"/>
                    <w:left w:val="single" w:sz="4" w:space="0" w:color="auto"/>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7-Feb</w:t>
                  </w:r>
                </w:p>
              </w:tc>
              <w:tc>
                <w:tcPr>
                  <w:tcW w:w="1900" w:type="dxa"/>
                  <w:gridSpan w:val="2"/>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DXH8</w:t>
                  </w:r>
                </w:p>
              </w:tc>
              <w:tc>
                <w:tcPr>
                  <w:tcW w:w="118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89.40</w:t>
                  </w:r>
                </w:p>
              </w:tc>
              <w:tc>
                <w:tcPr>
                  <w:tcW w:w="104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6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89.00</w:t>
                  </w:r>
                </w:p>
              </w:tc>
              <w:tc>
                <w:tcPr>
                  <w:tcW w:w="96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91.50</w:t>
                  </w:r>
                </w:p>
              </w:tc>
              <w:tc>
                <w:tcPr>
                  <w:tcW w:w="2480" w:type="dxa"/>
                  <w:tcBorders>
                    <w:top w:val="nil"/>
                    <w:left w:val="nil"/>
                    <w:bottom w:val="single" w:sz="4" w:space="0" w:color="auto"/>
                    <w:right w:val="single" w:sz="4" w:space="0" w:color="auto"/>
                  </w:tcBorders>
                  <w:shd w:val="clear" w:color="auto" w:fill="F2F2F2"/>
                  <w:noWrap/>
                  <w:vAlign w:val="center"/>
                  <w:hideMark/>
                </w:tcPr>
                <w:p w:rsidR="001730E7" w:rsidRDefault="001730E7">
                  <w:pPr>
                    <w:rPr>
                      <w:rFonts w:ascii="Arial" w:eastAsia="Times New Roman" w:hAnsi="Arial" w:cs="Arial"/>
                      <w:color w:val="000000"/>
                      <w:sz w:val="20"/>
                      <w:szCs w:val="20"/>
                    </w:rPr>
                  </w:pPr>
                  <w:r>
                    <w:rPr>
                      <w:rFonts w:ascii="Arial" w:eastAsia="Times New Roman" w:hAnsi="Arial" w:cs="Arial"/>
                      <w:color w:val="000000"/>
                      <w:sz w:val="20"/>
                      <w:szCs w:val="20"/>
                    </w:rPr>
                    <w:t>held l/t support</w:t>
                  </w:r>
                </w:p>
              </w:tc>
            </w:tr>
            <w:tr w:rsidR="001730E7" w:rsidTr="001730E7">
              <w:trPr>
                <w:trHeight w:val="300"/>
              </w:trPr>
              <w:tc>
                <w:tcPr>
                  <w:tcW w:w="1180" w:type="dxa"/>
                  <w:tcBorders>
                    <w:top w:val="nil"/>
                    <w:left w:val="single" w:sz="4" w:space="0" w:color="auto"/>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900" w:type="dxa"/>
                  <w:gridSpan w:val="2"/>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SIH8</w:t>
                  </w:r>
                </w:p>
              </w:tc>
              <w:tc>
                <w:tcPr>
                  <w:tcW w:w="118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4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06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&lt;16.42</w:t>
                  </w:r>
                </w:p>
              </w:tc>
              <w:tc>
                <w:tcPr>
                  <w:tcW w:w="96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16.07</w:t>
                  </w:r>
                </w:p>
              </w:tc>
              <w:tc>
                <w:tcPr>
                  <w:tcW w:w="2480" w:type="dxa"/>
                  <w:tcBorders>
                    <w:top w:val="nil"/>
                    <w:left w:val="nil"/>
                    <w:bottom w:val="single" w:sz="4" w:space="0" w:color="auto"/>
                    <w:right w:val="single" w:sz="4" w:space="0" w:color="auto"/>
                  </w:tcBorders>
                  <w:shd w:val="clear" w:color="auto" w:fill="F2F2F2"/>
                  <w:noWrap/>
                  <w:vAlign w:val="center"/>
                  <w:hideMark/>
                </w:tcPr>
                <w:p w:rsidR="001730E7" w:rsidRDefault="001730E7">
                  <w:pPr>
                    <w:jc w:val="right"/>
                    <w:rPr>
                      <w:rFonts w:ascii="Arial" w:eastAsia="Times New Roman" w:hAnsi="Arial" w:cs="Arial"/>
                      <w:color w:val="000000"/>
                      <w:sz w:val="20"/>
                      <w:szCs w:val="20"/>
                    </w:rPr>
                  </w:pPr>
                  <w:r>
                    <w:rPr>
                      <w:rFonts w:ascii="Arial" w:eastAsia="Times New Roman" w:hAnsi="Arial" w:cs="Arial"/>
                      <w:color w:val="000000"/>
                      <w:sz w:val="20"/>
                      <w:szCs w:val="20"/>
                    </w:rPr>
                    <w:t>0.618</w:t>
                  </w:r>
                </w:p>
              </w:tc>
            </w:tr>
            <w:tr w:rsidR="001730E7" w:rsidTr="001730E7">
              <w:trPr>
                <w:trHeight w:val="300"/>
              </w:trPr>
              <w:tc>
                <w:tcPr>
                  <w:tcW w:w="1180" w:type="dxa"/>
                  <w:tcBorders>
                    <w:top w:val="nil"/>
                    <w:left w:val="single" w:sz="4" w:space="0" w:color="auto"/>
                    <w:bottom w:val="single" w:sz="4" w:space="0" w:color="auto"/>
                    <w:right w:val="single" w:sz="4" w:space="0" w:color="auto"/>
                  </w:tcBorders>
                  <w:noWrap/>
                  <w:vAlign w:val="center"/>
                  <w:hideMark/>
                </w:tcPr>
                <w:p w:rsidR="001730E7" w:rsidRDefault="001730E7">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900" w:type="dxa"/>
                  <w:gridSpan w:val="2"/>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Long Gold/Silver</w:t>
                  </w:r>
                </w:p>
              </w:tc>
              <w:tc>
                <w:tcPr>
                  <w:tcW w:w="118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4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6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96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2480" w:type="dxa"/>
                  <w:tcBorders>
                    <w:top w:val="nil"/>
                    <w:left w:val="nil"/>
                    <w:bottom w:val="single" w:sz="4" w:space="0" w:color="auto"/>
                    <w:right w:val="single" w:sz="4" w:space="0" w:color="auto"/>
                  </w:tcBorders>
                  <w:shd w:val="clear" w:color="auto" w:fill="F2F2F2"/>
                  <w:noWrap/>
                  <w:vAlign w:val="center"/>
                  <w:hideMark/>
                </w:tcPr>
                <w:p w:rsidR="001730E7" w:rsidRDefault="001730E7">
                  <w:pPr>
                    <w:rPr>
                      <w:rFonts w:ascii="Arial" w:eastAsia="Times New Roman" w:hAnsi="Arial" w:cs="Arial"/>
                      <w:color w:val="000000"/>
                      <w:sz w:val="20"/>
                      <w:szCs w:val="20"/>
                    </w:rPr>
                  </w:pPr>
                  <w:r>
                    <w:rPr>
                      <w:rFonts w:ascii="Arial" w:eastAsia="Times New Roman" w:hAnsi="Arial" w:cs="Arial"/>
                      <w:color w:val="000000"/>
                      <w:sz w:val="20"/>
                      <w:szCs w:val="20"/>
                    </w:rPr>
                    <w:t>above key .786</w:t>
                  </w:r>
                </w:p>
              </w:tc>
            </w:tr>
            <w:tr w:rsidR="001730E7" w:rsidTr="001730E7">
              <w:trPr>
                <w:trHeight w:val="300"/>
              </w:trPr>
              <w:tc>
                <w:tcPr>
                  <w:tcW w:w="1180" w:type="dxa"/>
                  <w:tcBorders>
                    <w:top w:val="nil"/>
                    <w:left w:val="single" w:sz="4" w:space="0" w:color="auto"/>
                    <w:bottom w:val="single" w:sz="4" w:space="0" w:color="auto"/>
                    <w:right w:val="single" w:sz="4" w:space="0" w:color="auto"/>
                  </w:tcBorders>
                  <w:noWrap/>
                  <w:vAlign w:val="bottom"/>
                  <w:hideMark/>
                </w:tcPr>
                <w:p w:rsidR="001730E7" w:rsidRDefault="001730E7">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900" w:type="dxa"/>
                  <w:gridSpan w:val="2"/>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ESH</w:t>
                  </w:r>
                </w:p>
              </w:tc>
              <w:tc>
                <w:tcPr>
                  <w:tcW w:w="118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4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2745.00</w:t>
                  </w:r>
                </w:p>
              </w:tc>
              <w:tc>
                <w:tcPr>
                  <w:tcW w:w="106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2755.00</w:t>
                  </w:r>
                </w:p>
              </w:tc>
              <w:tc>
                <w:tcPr>
                  <w:tcW w:w="96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lower</w:t>
                  </w:r>
                </w:p>
              </w:tc>
              <w:tc>
                <w:tcPr>
                  <w:tcW w:w="2480" w:type="dxa"/>
                  <w:tcBorders>
                    <w:top w:val="nil"/>
                    <w:left w:val="nil"/>
                    <w:bottom w:val="single" w:sz="4" w:space="0" w:color="auto"/>
                    <w:right w:val="single" w:sz="4" w:space="0" w:color="auto"/>
                  </w:tcBorders>
                  <w:shd w:val="clear" w:color="auto" w:fill="F2F2F2"/>
                  <w:noWrap/>
                  <w:vAlign w:val="center"/>
                  <w:hideMark/>
                </w:tcPr>
                <w:p w:rsidR="001730E7" w:rsidRDefault="001730E7">
                  <w:pPr>
                    <w:rPr>
                      <w:rFonts w:ascii="Arial" w:eastAsia="Times New Roman" w:hAnsi="Arial" w:cs="Arial"/>
                      <w:color w:val="000000"/>
                      <w:sz w:val="20"/>
                      <w:szCs w:val="20"/>
                    </w:rPr>
                  </w:pPr>
                  <w:r>
                    <w:rPr>
                      <w:rFonts w:ascii="Arial" w:eastAsia="Times New Roman" w:hAnsi="Arial" w:cs="Arial"/>
                      <w:color w:val="000000"/>
                      <w:sz w:val="20"/>
                      <w:szCs w:val="20"/>
                    </w:rPr>
                    <w:t>vwap and .618</w:t>
                  </w:r>
                </w:p>
              </w:tc>
            </w:tr>
            <w:tr w:rsidR="001730E7" w:rsidTr="001730E7">
              <w:trPr>
                <w:trHeight w:val="300"/>
              </w:trPr>
              <w:tc>
                <w:tcPr>
                  <w:tcW w:w="3080" w:type="dxa"/>
                  <w:gridSpan w:val="3"/>
                  <w:tcBorders>
                    <w:top w:val="single" w:sz="8" w:space="0" w:color="auto"/>
                    <w:left w:val="single" w:sz="8" w:space="0" w:color="auto"/>
                    <w:bottom w:val="nil"/>
                    <w:right w:val="nil"/>
                  </w:tcBorders>
                  <w:noWrap/>
                  <w:vAlign w:val="bottom"/>
                  <w:hideMark/>
                </w:tcPr>
                <w:p w:rsidR="001730E7" w:rsidRDefault="001730E7">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*ACTIVE TRADE IDEAS*</w:t>
                  </w:r>
                </w:p>
              </w:tc>
              <w:tc>
                <w:tcPr>
                  <w:tcW w:w="1180" w:type="dxa"/>
                  <w:tcBorders>
                    <w:top w:val="single" w:sz="8" w:space="0" w:color="auto"/>
                    <w:left w:val="nil"/>
                    <w:bottom w:val="nil"/>
                    <w:right w:val="nil"/>
                  </w:tcBorders>
                  <w:noWrap/>
                  <w:vAlign w:val="bottom"/>
                  <w:hideMark/>
                </w:tcPr>
                <w:p w:rsidR="001730E7" w:rsidRDefault="001730E7">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40" w:type="dxa"/>
                  <w:tcBorders>
                    <w:top w:val="single" w:sz="8" w:space="0" w:color="auto"/>
                    <w:left w:val="nil"/>
                    <w:bottom w:val="nil"/>
                    <w:right w:val="nil"/>
                  </w:tcBorders>
                  <w:noWrap/>
                  <w:vAlign w:val="bottom"/>
                  <w:hideMark/>
                </w:tcPr>
                <w:p w:rsidR="001730E7" w:rsidRDefault="001730E7">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60" w:type="dxa"/>
                  <w:tcBorders>
                    <w:top w:val="single" w:sz="8" w:space="0" w:color="auto"/>
                    <w:left w:val="nil"/>
                    <w:bottom w:val="nil"/>
                    <w:right w:val="nil"/>
                  </w:tcBorders>
                  <w:noWrap/>
                  <w:vAlign w:val="bottom"/>
                  <w:hideMark/>
                </w:tcPr>
                <w:p w:rsidR="001730E7" w:rsidRDefault="001730E7">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960" w:type="dxa"/>
                  <w:tcBorders>
                    <w:top w:val="single" w:sz="8" w:space="0" w:color="auto"/>
                    <w:left w:val="nil"/>
                    <w:bottom w:val="nil"/>
                    <w:right w:val="nil"/>
                  </w:tcBorders>
                  <w:noWrap/>
                  <w:vAlign w:val="bottom"/>
                  <w:hideMark/>
                </w:tcPr>
                <w:p w:rsidR="001730E7" w:rsidRDefault="001730E7">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2480" w:type="dxa"/>
                  <w:tcBorders>
                    <w:top w:val="single" w:sz="8" w:space="0" w:color="auto"/>
                    <w:left w:val="nil"/>
                    <w:bottom w:val="nil"/>
                    <w:right w:val="single" w:sz="8" w:space="0" w:color="auto"/>
                  </w:tcBorders>
                  <w:noWrap/>
                  <w:vAlign w:val="bottom"/>
                  <w:hideMark/>
                </w:tcPr>
                <w:p w:rsidR="001730E7" w:rsidRDefault="001730E7">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1730E7" w:rsidTr="001730E7">
              <w:trPr>
                <w:trHeight w:val="300"/>
              </w:trPr>
              <w:tc>
                <w:tcPr>
                  <w:tcW w:w="1339" w:type="dxa"/>
                  <w:gridSpan w:val="2"/>
                  <w:tcBorders>
                    <w:top w:val="single" w:sz="4" w:space="0" w:color="auto"/>
                    <w:left w:val="single" w:sz="4" w:space="0" w:color="auto"/>
                    <w:bottom w:val="single" w:sz="4" w:space="0" w:color="auto"/>
                    <w:right w:val="single" w:sz="4" w:space="0" w:color="auto"/>
                  </w:tcBorders>
                  <w:noWrap/>
                  <w:vAlign w:val="bottom"/>
                  <w:hideMark/>
                </w:tcPr>
                <w:p w:rsidR="001730E7" w:rsidRDefault="001730E7">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Date</w:t>
                  </w:r>
                </w:p>
              </w:tc>
              <w:tc>
                <w:tcPr>
                  <w:tcW w:w="1741" w:type="dxa"/>
                  <w:tcBorders>
                    <w:top w:val="single" w:sz="4" w:space="0" w:color="auto"/>
                    <w:left w:val="nil"/>
                    <w:bottom w:val="single" w:sz="4" w:space="0" w:color="auto"/>
                    <w:right w:val="single" w:sz="4" w:space="0" w:color="auto"/>
                  </w:tcBorders>
                  <w:noWrap/>
                  <w:vAlign w:val="bottom"/>
                  <w:hideMark/>
                </w:tcPr>
                <w:p w:rsidR="001730E7" w:rsidRDefault="001730E7">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Commodity</w:t>
                  </w:r>
                </w:p>
              </w:tc>
              <w:tc>
                <w:tcPr>
                  <w:tcW w:w="1180" w:type="dxa"/>
                  <w:tcBorders>
                    <w:top w:val="single" w:sz="4" w:space="0" w:color="auto"/>
                    <w:left w:val="nil"/>
                    <w:bottom w:val="single" w:sz="4" w:space="0" w:color="auto"/>
                    <w:right w:val="single" w:sz="4" w:space="0" w:color="auto"/>
                  </w:tcBorders>
                  <w:noWrap/>
                  <w:vAlign w:val="bottom"/>
                  <w:hideMark/>
                </w:tcPr>
                <w:p w:rsidR="001730E7" w:rsidRDefault="001730E7">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Buy</w:t>
                  </w:r>
                </w:p>
              </w:tc>
              <w:tc>
                <w:tcPr>
                  <w:tcW w:w="1040" w:type="dxa"/>
                  <w:tcBorders>
                    <w:top w:val="single" w:sz="4" w:space="0" w:color="auto"/>
                    <w:left w:val="nil"/>
                    <w:bottom w:val="single" w:sz="4" w:space="0" w:color="auto"/>
                    <w:right w:val="single" w:sz="4" w:space="0" w:color="auto"/>
                  </w:tcBorders>
                  <w:noWrap/>
                  <w:vAlign w:val="bottom"/>
                  <w:hideMark/>
                </w:tcPr>
                <w:p w:rsidR="001730E7" w:rsidRDefault="001730E7">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Sell</w:t>
                  </w:r>
                </w:p>
              </w:tc>
              <w:tc>
                <w:tcPr>
                  <w:tcW w:w="1060" w:type="dxa"/>
                  <w:tcBorders>
                    <w:top w:val="single" w:sz="4" w:space="0" w:color="auto"/>
                    <w:left w:val="nil"/>
                    <w:bottom w:val="single" w:sz="4" w:space="0" w:color="auto"/>
                    <w:right w:val="single" w:sz="4" w:space="0" w:color="auto"/>
                  </w:tcBorders>
                  <w:noWrap/>
                  <w:vAlign w:val="bottom"/>
                  <w:hideMark/>
                </w:tcPr>
                <w:p w:rsidR="001730E7" w:rsidRDefault="001730E7">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Stop</w:t>
                  </w:r>
                </w:p>
              </w:tc>
              <w:tc>
                <w:tcPr>
                  <w:tcW w:w="960" w:type="dxa"/>
                  <w:tcBorders>
                    <w:top w:val="single" w:sz="4" w:space="0" w:color="auto"/>
                    <w:left w:val="nil"/>
                    <w:bottom w:val="single" w:sz="4" w:space="0" w:color="auto"/>
                    <w:right w:val="single" w:sz="4" w:space="0" w:color="auto"/>
                  </w:tcBorders>
                  <w:noWrap/>
                  <w:vAlign w:val="bottom"/>
                  <w:hideMark/>
                </w:tcPr>
                <w:p w:rsidR="001730E7" w:rsidRDefault="001730E7">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Target</w:t>
                  </w:r>
                </w:p>
              </w:tc>
              <w:tc>
                <w:tcPr>
                  <w:tcW w:w="2480" w:type="dxa"/>
                  <w:tcBorders>
                    <w:top w:val="single" w:sz="4" w:space="0" w:color="auto"/>
                    <w:left w:val="nil"/>
                    <w:bottom w:val="single" w:sz="4" w:space="0" w:color="auto"/>
                    <w:right w:val="single" w:sz="4" w:space="0" w:color="auto"/>
                  </w:tcBorders>
                  <w:noWrap/>
                  <w:vAlign w:val="bottom"/>
                  <w:hideMark/>
                </w:tcPr>
                <w:p w:rsidR="001730E7" w:rsidRDefault="001730E7">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Notes</w:t>
                  </w:r>
                </w:p>
              </w:tc>
            </w:tr>
            <w:tr w:rsidR="001730E7" w:rsidTr="001730E7">
              <w:trPr>
                <w:trHeight w:val="300"/>
              </w:trPr>
              <w:tc>
                <w:tcPr>
                  <w:tcW w:w="1339" w:type="dxa"/>
                  <w:gridSpan w:val="2"/>
                  <w:tcBorders>
                    <w:top w:val="nil"/>
                    <w:left w:val="single" w:sz="4" w:space="0" w:color="auto"/>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2/6/2018</w:t>
                  </w:r>
                </w:p>
              </w:tc>
              <w:tc>
                <w:tcPr>
                  <w:tcW w:w="1741"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CLH8</w:t>
                  </w:r>
                </w:p>
              </w:tc>
              <w:tc>
                <w:tcPr>
                  <w:tcW w:w="118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104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63.90</w:t>
                  </w:r>
                </w:p>
              </w:tc>
              <w:tc>
                <w:tcPr>
                  <w:tcW w:w="106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64.50</w:t>
                  </w:r>
                </w:p>
              </w:tc>
              <w:tc>
                <w:tcPr>
                  <w:tcW w:w="960" w:type="dxa"/>
                  <w:tcBorders>
                    <w:top w:val="nil"/>
                    <w:left w:val="nil"/>
                    <w:bottom w:val="single" w:sz="4" w:space="0" w:color="auto"/>
                    <w:right w:val="single" w:sz="4" w:space="0" w:color="auto"/>
                  </w:tcBorders>
                  <w:noWrap/>
                  <w:vAlign w:val="center"/>
                  <w:hideMark/>
                </w:tcPr>
                <w:p w:rsidR="001730E7" w:rsidRDefault="001730E7">
                  <w:pPr>
                    <w:jc w:val="center"/>
                    <w:rPr>
                      <w:rFonts w:ascii="Arial" w:eastAsia="Times New Roman" w:hAnsi="Arial" w:cs="Arial"/>
                      <w:color w:val="000000"/>
                      <w:sz w:val="20"/>
                      <w:szCs w:val="20"/>
                    </w:rPr>
                  </w:pPr>
                  <w:r>
                    <w:rPr>
                      <w:rFonts w:ascii="Arial" w:eastAsia="Times New Roman" w:hAnsi="Arial" w:cs="Arial"/>
                      <w:color w:val="000000"/>
                      <w:sz w:val="20"/>
                      <w:szCs w:val="20"/>
                    </w:rPr>
                    <w:t>60.90</w:t>
                  </w:r>
                </w:p>
              </w:tc>
              <w:tc>
                <w:tcPr>
                  <w:tcW w:w="2480" w:type="dxa"/>
                  <w:tcBorders>
                    <w:top w:val="nil"/>
                    <w:left w:val="nil"/>
                    <w:bottom w:val="single" w:sz="4" w:space="0" w:color="auto"/>
                    <w:right w:val="single" w:sz="4" w:space="0" w:color="auto"/>
                  </w:tcBorders>
                  <w:shd w:val="clear" w:color="auto" w:fill="F2F2F2"/>
                  <w:noWrap/>
                  <w:vAlign w:val="center"/>
                  <w:hideMark/>
                </w:tcPr>
                <w:p w:rsidR="001730E7" w:rsidRDefault="001730E7">
                  <w:pPr>
                    <w:rPr>
                      <w:rFonts w:ascii="Arial" w:eastAsia="Times New Roman" w:hAnsi="Arial" w:cs="Arial"/>
                      <w:color w:val="000000"/>
                      <w:sz w:val="20"/>
                      <w:szCs w:val="20"/>
                    </w:rPr>
                  </w:pPr>
                  <w:r>
                    <w:rPr>
                      <w:rFonts w:ascii="Arial" w:eastAsia="Times New Roman" w:hAnsi="Arial" w:cs="Arial"/>
                      <w:color w:val="000000"/>
                      <w:sz w:val="20"/>
                      <w:szCs w:val="20"/>
                    </w:rPr>
                    <w:t>62.65 initial key</w:t>
                  </w:r>
                </w:p>
              </w:tc>
            </w:tr>
            <w:tr w:rsidR="001730E7" w:rsidTr="001730E7">
              <w:trPr>
                <w:trHeight w:val="300"/>
              </w:trPr>
              <w:tc>
                <w:tcPr>
                  <w:tcW w:w="1339" w:type="dxa"/>
                  <w:gridSpan w:val="2"/>
                  <w:tcBorders>
                    <w:top w:val="nil"/>
                    <w:left w:val="single" w:sz="4" w:space="0" w:color="auto"/>
                    <w:bottom w:val="single" w:sz="4" w:space="0" w:color="auto"/>
                    <w:right w:val="single" w:sz="4" w:space="0" w:color="auto"/>
                  </w:tcBorders>
                  <w:noWrap/>
                  <w:vAlign w:val="center"/>
                  <w:hideMark/>
                </w:tcPr>
                <w:p w:rsidR="001730E7" w:rsidRDefault="001730E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2/6/2018</w:t>
                  </w:r>
                </w:p>
              </w:tc>
              <w:tc>
                <w:tcPr>
                  <w:tcW w:w="1741" w:type="dxa"/>
                  <w:tcBorders>
                    <w:top w:val="nil"/>
                    <w:left w:val="nil"/>
                    <w:bottom w:val="single" w:sz="4" w:space="0" w:color="auto"/>
                    <w:right w:val="single" w:sz="4" w:space="0" w:color="auto"/>
                  </w:tcBorders>
                  <w:noWrap/>
                  <w:vAlign w:val="center"/>
                  <w:hideMark/>
                </w:tcPr>
                <w:p w:rsidR="001730E7" w:rsidRDefault="001730E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USH8</w:t>
                  </w:r>
                </w:p>
              </w:tc>
              <w:tc>
                <w:tcPr>
                  <w:tcW w:w="1180" w:type="dxa"/>
                  <w:tcBorders>
                    <w:top w:val="nil"/>
                    <w:left w:val="nil"/>
                    <w:bottom w:val="single" w:sz="4" w:space="0" w:color="auto"/>
                    <w:right w:val="single" w:sz="4" w:space="0" w:color="auto"/>
                  </w:tcBorders>
                  <w:noWrap/>
                  <w:vAlign w:val="center"/>
                  <w:hideMark/>
                </w:tcPr>
                <w:p w:rsidR="001730E7" w:rsidRDefault="001730E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0" w:type="dxa"/>
                  <w:tcBorders>
                    <w:top w:val="nil"/>
                    <w:left w:val="nil"/>
                    <w:bottom w:val="single" w:sz="4" w:space="0" w:color="auto"/>
                    <w:right w:val="single" w:sz="4" w:space="0" w:color="auto"/>
                  </w:tcBorders>
                  <w:noWrap/>
                  <w:vAlign w:val="center"/>
                  <w:hideMark/>
                </w:tcPr>
                <w:p w:rsidR="001730E7" w:rsidRDefault="001730E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147-20*</w:t>
                  </w:r>
                </w:p>
              </w:tc>
              <w:tc>
                <w:tcPr>
                  <w:tcW w:w="1060" w:type="dxa"/>
                  <w:tcBorders>
                    <w:top w:val="nil"/>
                    <w:left w:val="nil"/>
                    <w:bottom w:val="single" w:sz="4" w:space="0" w:color="auto"/>
                    <w:right w:val="single" w:sz="4" w:space="0" w:color="auto"/>
                  </w:tcBorders>
                  <w:noWrap/>
                  <w:vAlign w:val="center"/>
                  <w:hideMark/>
                </w:tcPr>
                <w:p w:rsidR="001730E7" w:rsidRDefault="001730E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148.02</w:t>
                  </w:r>
                </w:p>
              </w:tc>
              <w:tc>
                <w:tcPr>
                  <w:tcW w:w="960" w:type="dxa"/>
                  <w:tcBorders>
                    <w:top w:val="nil"/>
                    <w:left w:val="nil"/>
                    <w:bottom w:val="single" w:sz="4" w:space="0" w:color="auto"/>
                    <w:right w:val="single" w:sz="4" w:space="0" w:color="auto"/>
                  </w:tcBorders>
                  <w:noWrap/>
                  <w:vAlign w:val="center"/>
                  <w:hideMark/>
                </w:tcPr>
                <w:p w:rsidR="001730E7" w:rsidRDefault="001730E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lower</w:t>
                  </w:r>
                </w:p>
              </w:tc>
              <w:tc>
                <w:tcPr>
                  <w:tcW w:w="2480" w:type="dxa"/>
                  <w:tcBorders>
                    <w:top w:val="nil"/>
                    <w:left w:val="nil"/>
                    <w:bottom w:val="single" w:sz="4" w:space="0" w:color="auto"/>
                    <w:right w:val="single" w:sz="4" w:space="0" w:color="auto"/>
                  </w:tcBorders>
                  <w:shd w:val="clear" w:color="auto" w:fill="F2F2F2"/>
                  <w:noWrap/>
                  <w:vAlign w:val="center"/>
                  <w:hideMark/>
                </w:tcPr>
                <w:p w:rsidR="001730E7" w:rsidRDefault="001730E7">
                  <w:pPr>
                    <w:rPr>
                      <w:rFonts w:ascii="Calibri" w:eastAsia="Times New Roman" w:hAnsi="Calibri" w:cs="Calibri"/>
                      <w:color w:val="000000"/>
                      <w:sz w:val="22"/>
                      <w:szCs w:val="22"/>
                    </w:rPr>
                  </w:pPr>
                  <w:r>
                    <w:rPr>
                      <w:rFonts w:ascii="Calibri" w:eastAsia="Times New Roman" w:hAnsi="Calibri" w:cs="Calibri"/>
                      <w:color w:val="000000"/>
                      <w:sz w:val="22"/>
                      <w:szCs w:val="22"/>
                    </w:rPr>
                    <w:t>200 wk mvg avg key*</w:t>
                  </w:r>
                </w:p>
              </w:tc>
            </w:tr>
            <w:tr w:rsidR="001730E7" w:rsidTr="001730E7">
              <w:trPr>
                <w:trHeight w:val="300"/>
              </w:trPr>
              <w:tc>
                <w:tcPr>
                  <w:tcW w:w="1339" w:type="dxa"/>
                  <w:gridSpan w:val="2"/>
                  <w:tcBorders>
                    <w:top w:val="nil"/>
                    <w:left w:val="single" w:sz="4" w:space="0" w:color="auto"/>
                    <w:bottom w:val="single" w:sz="4" w:space="0" w:color="auto"/>
                    <w:right w:val="single" w:sz="4" w:space="0" w:color="auto"/>
                  </w:tcBorders>
                  <w:noWrap/>
                  <w:vAlign w:val="center"/>
                  <w:hideMark/>
                </w:tcPr>
                <w:p w:rsidR="001730E7" w:rsidRDefault="001730E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741" w:type="dxa"/>
                  <w:tcBorders>
                    <w:top w:val="nil"/>
                    <w:left w:val="nil"/>
                    <w:bottom w:val="single" w:sz="4" w:space="0" w:color="auto"/>
                    <w:right w:val="single" w:sz="4" w:space="0" w:color="auto"/>
                  </w:tcBorders>
                  <w:noWrap/>
                  <w:vAlign w:val="center"/>
                  <w:hideMark/>
                </w:tcPr>
                <w:p w:rsidR="001730E7" w:rsidRDefault="001730E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180" w:type="dxa"/>
                  <w:tcBorders>
                    <w:top w:val="nil"/>
                    <w:left w:val="nil"/>
                    <w:bottom w:val="single" w:sz="4" w:space="0" w:color="auto"/>
                    <w:right w:val="single" w:sz="4" w:space="0" w:color="auto"/>
                  </w:tcBorders>
                  <w:noWrap/>
                  <w:vAlign w:val="center"/>
                  <w:hideMark/>
                </w:tcPr>
                <w:p w:rsidR="001730E7" w:rsidRDefault="001730E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40" w:type="dxa"/>
                  <w:tcBorders>
                    <w:top w:val="nil"/>
                    <w:left w:val="nil"/>
                    <w:bottom w:val="single" w:sz="4" w:space="0" w:color="auto"/>
                    <w:right w:val="single" w:sz="4" w:space="0" w:color="auto"/>
                  </w:tcBorders>
                  <w:noWrap/>
                  <w:vAlign w:val="center"/>
                  <w:hideMark/>
                </w:tcPr>
                <w:p w:rsidR="001730E7" w:rsidRDefault="001730E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1060" w:type="dxa"/>
                  <w:tcBorders>
                    <w:top w:val="nil"/>
                    <w:left w:val="nil"/>
                    <w:bottom w:val="single" w:sz="4" w:space="0" w:color="auto"/>
                    <w:right w:val="single" w:sz="4" w:space="0" w:color="auto"/>
                  </w:tcBorders>
                  <w:noWrap/>
                  <w:vAlign w:val="center"/>
                  <w:hideMark/>
                </w:tcPr>
                <w:p w:rsidR="001730E7" w:rsidRDefault="001730E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960" w:type="dxa"/>
                  <w:tcBorders>
                    <w:top w:val="nil"/>
                    <w:left w:val="nil"/>
                    <w:bottom w:val="single" w:sz="4" w:space="0" w:color="auto"/>
                    <w:right w:val="single" w:sz="4" w:space="0" w:color="auto"/>
                  </w:tcBorders>
                  <w:noWrap/>
                  <w:vAlign w:val="center"/>
                  <w:hideMark/>
                </w:tcPr>
                <w:p w:rsidR="001730E7" w:rsidRDefault="001730E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 </w:t>
                  </w:r>
                </w:p>
              </w:tc>
              <w:tc>
                <w:tcPr>
                  <w:tcW w:w="2480" w:type="dxa"/>
                  <w:tcBorders>
                    <w:top w:val="nil"/>
                    <w:left w:val="nil"/>
                    <w:bottom w:val="single" w:sz="4" w:space="0" w:color="auto"/>
                    <w:right w:val="single" w:sz="4" w:space="0" w:color="auto"/>
                  </w:tcBorders>
                  <w:noWrap/>
                  <w:vAlign w:val="center"/>
                  <w:hideMark/>
                </w:tcPr>
                <w:p w:rsidR="001730E7" w:rsidRDefault="001730E7">
                  <w:pPr>
                    <w:rPr>
                      <w:rFonts w:eastAsia="Times New Roman"/>
                      <w:color w:val="000000"/>
                      <w:sz w:val="20"/>
                      <w:szCs w:val="20"/>
                    </w:rPr>
                  </w:pPr>
                  <w:r>
                    <w:rPr>
                      <w:rFonts w:eastAsia="Times New Roman"/>
                      <w:color w:val="000000"/>
                      <w:sz w:val="20"/>
                      <w:szCs w:val="20"/>
                    </w:rPr>
                    <w:t> </w:t>
                  </w:r>
                </w:p>
              </w:tc>
            </w:tr>
          </w:tbl>
          <w:p w:rsidR="001730E7" w:rsidRDefault="001730E7" w:rsidP="001730E7">
            <w:pPr>
              <w:spacing w:before="100" w:beforeAutospacing="1" w:after="100" w:afterAutospacing="1" w:line="276" w:lineRule="auto"/>
              <w:rPr>
                <w:rFonts w:ascii="Arial" w:hAnsi="Arial" w:cs="Arial"/>
                <w:color w:val="3B3838"/>
                <w:sz w:val="20"/>
                <w:szCs w:val="20"/>
              </w:rPr>
            </w:pPr>
            <w:r>
              <w:rPr>
                <w:rFonts w:ascii="Arial" w:hAnsi="Arial" w:cs="Arial"/>
                <w:b/>
                <w:bCs/>
                <w:color w:val="3B3838"/>
              </w:rPr>
              <w:t>DATA and HIGHLIGHTS:</w:t>
            </w:r>
            <w:r>
              <w:rPr>
                <w:rFonts w:ascii="Arial" w:hAnsi="Arial" w:cs="Arial"/>
                <w:color w:val="3B3838"/>
                <w:sz w:val="20"/>
                <w:szCs w:val="20"/>
              </w:rPr>
              <w:t xml:space="preserve">  8:30 ET Dudley speaks;  11:15ET Evans speaks;  1:00ET  10 Yr Note Auction; 3:00ET Consumer Credit </w:t>
            </w:r>
          </w:p>
          <w:p w:rsidR="001730E7" w:rsidRDefault="001730E7" w:rsidP="001730E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US Fed's Kaplan says market corrections are healthy; says valuations are high relative to history.  Elon Musk says new SpaceX rocket can launch payloads as far as Pluto. ECB Official Says We Must Know Facts Before Commenting on Market. Merkel’s bloc has reached a deal on a coalition government with the Social Democratic Party. The House passed a bill yesterday to avoid a government shutdown this Friday which will maintain federal funding until March 23.  </w:t>
            </w:r>
          </w:p>
          <w:tbl>
            <w:tblPr>
              <w:tblW w:w="9795" w:type="dxa"/>
              <w:tblCellMar>
                <w:left w:w="0" w:type="dxa"/>
                <w:right w:w="0" w:type="dxa"/>
              </w:tblCellMar>
              <w:tblLook w:val="04A0" w:firstRow="1" w:lastRow="0" w:firstColumn="1" w:lastColumn="0" w:noHBand="0" w:noVBand="1"/>
            </w:tblPr>
            <w:tblGrid>
              <w:gridCol w:w="1528"/>
              <w:gridCol w:w="1607"/>
              <w:gridCol w:w="1620"/>
              <w:gridCol w:w="1710"/>
              <w:gridCol w:w="1710"/>
              <w:gridCol w:w="1620"/>
            </w:tblGrid>
            <w:tr w:rsidR="001730E7" w:rsidTr="001730E7">
              <w:trPr>
                <w:trHeight w:val="257"/>
              </w:trPr>
              <w:tc>
                <w:tcPr>
                  <w:tcW w:w="1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30E7" w:rsidRDefault="001730E7">
                  <w:pPr>
                    <w:rPr>
                      <w:rFonts w:eastAsia="Times New Roman"/>
                      <w:sz w:val="20"/>
                      <w:szCs w:val="20"/>
                    </w:rPr>
                  </w:pPr>
                </w:p>
              </w:tc>
              <w:tc>
                <w:tcPr>
                  <w:tcW w:w="16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ESH8</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TYH8</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GCJ8</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CLH8</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color w:val="3B3838"/>
                      <w:sz w:val="20"/>
                      <w:szCs w:val="20"/>
                    </w:rPr>
                  </w:pPr>
                  <w:r>
                    <w:rPr>
                      <w:rFonts w:ascii="Arial" w:hAnsi="Arial" w:cs="Arial"/>
                      <w:color w:val="3B3838"/>
                      <w:sz w:val="20"/>
                      <w:szCs w:val="20"/>
                    </w:rPr>
                    <w:t>DXH8</w:t>
                  </w:r>
                </w:p>
              </w:tc>
            </w:tr>
            <w:tr w:rsidR="001730E7" w:rsidTr="001730E7">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Resistance</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jc w:val="center"/>
                    <w:rPr>
                      <w:rFonts w:ascii="Arial" w:eastAsia="Times New Roman" w:hAnsi="Arial" w:cs="Arial"/>
                      <w:sz w:val="20"/>
                      <w:szCs w:val="20"/>
                    </w:rPr>
                  </w:pPr>
                  <w:r>
                    <w:rPr>
                      <w:rFonts w:ascii="Arial" w:eastAsia="Times New Roman" w:hAnsi="Arial" w:cs="Arial"/>
                      <w:sz w:val="20"/>
                      <w:szCs w:val="20"/>
                    </w:rPr>
                    <w:t>2764/66*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b/>
                      <w:sz w:val="20"/>
                      <w:szCs w:val="20"/>
                    </w:rPr>
                  </w:pPr>
                  <w:r>
                    <w:rPr>
                      <w:rFonts w:ascii="Arial" w:hAnsi="Arial" w:cs="Arial"/>
                      <w:b/>
                      <w:color w:val="009900"/>
                      <w:sz w:val="20"/>
                      <w:szCs w:val="20"/>
                    </w:rPr>
                    <w:t>123-21+</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jc w:val="center"/>
                    <w:rPr>
                      <w:rFonts w:ascii="Arial" w:hAnsi="Arial" w:cs="Arial"/>
                      <w:sz w:val="20"/>
                      <w:szCs w:val="20"/>
                    </w:rPr>
                  </w:pPr>
                  <w:r>
                    <w:rPr>
                      <w:rFonts w:ascii="Arial" w:hAnsi="Arial" w:cs="Arial"/>
                      <w:sz w:val="20"/>
                      <w:szCs w:val="20"/>
                    </w:rPr>
                    <w:t>1370.5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67.75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92.275</w:t>
                  </w:r>
                </w:p>
              </w:tc>
            </w:tr>
            <w:tr w:rsidR="001730E7" w:rsidTr="001730E7">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30E7" w:rsidRDefault="001730E7">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2745.00*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123-08+*</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jc w:val="center"/>
                    <w:rPr>
                      <w:rFonts w:ascii="Arial" w:hAnsi="Arial" w:cs="Arial"/>
                      <w:sz w:val="20"/>
                      <w:szCs w:val="20"/>
                    </w:rPr>
                  </w:pPr>
                  <w:r>
                    <w:rPr>
                      <w:rFonts w:ascii="Arial" w:hAnsi="Arial" w:cs="Arial"/>
                      <w:sz w:val="20"/>
                      <w:szCs w:val="20"/>
                    </w:rPr>
                    <w:t>1362.0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66.89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91.500</w:t>
                  </w:r>
                </w:p>
              </w:tc>
            </w:tr>
            <w:tr w:rsidR="001730E7" w:rsidTr="001730E7">
              <w:trPr>
                <w:trHeight w:val="264"/>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30E7" w:rsidRDefault="001730E7">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2733/34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122-23+</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jc w:val="center"/>
                    <w:rPr>
                      <w:rFonts w:ascii="Arial" w:hAnsi="Arial" w:cs="Arial"/>
                      <w:sz w:val="20"/>
                      <w:szCs w:val="20"/>
                    </w:rPr>
                  </w:pPr>
                  <w:r>
                    <w:rPr>
                      <w:rFonts w:ascii="Arial" w:hAnsi="Arial" w:cs="Arial"/>
                      <w:sz w:val="20"/>
                      <w:szCs w:val="20"/>
                    </w:rPr>
                    <w:t>1355.0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65.90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90.740*</w:t>
                  </w:r>
                </w:p>
              </w:tc>
            </w:tr>
            <w:tr w:rsidR="001730E7" w:rsidTr="001730E7">
              <w:trPr>
                <w:trHeight w:val="273"/>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30E7" w:rsidRDefault="001730E7">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color w:val="0000FF"/>
                      <w:sz w:val="20"/>
                      <w:szCs w:val="20"/>
                    </w:rPr>
                  </w:pPr>
                  <w:r>
                    <w:rPr>
                      <w:rFonts w:ascii="Arial" w:hAnsi="Arial" w:cs="Arial"/>
                      <w:color w:val="0000FF"/>
                      <w:sz w:val="20"/>
                      <w:szCs w:val="20"/>
                    </w:rPr>
                    <w:t>2720.50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122-08vwap</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jc w:val="center"/>
                    <w:rPr>
                      <w:rFonts w:ascii="Arial" w:hAnsi="Arial" w:cs="Arial"/>
                      <w:sz w:val="20"/>
                      <w:szCs w:val="20"/>
                    </w:rPr>
                  </w:pPr>
                  <w:r>
                    <w:rPr>
                      <w:rFonts w:ascii="Arial" w:hAnsi="Arial" w:cs="Arial"/>
                      <w:sz w:val="20"/>
                      <w:szCs w:val="20"/>
                    </w:rPr>
                    <w:t>1343.0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65.31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90.300</w:t>
                  </w:r>
                </w:p>
              </w:tc>
            </w:tr>
            <w:tr w:rsidR="001730E7" w:rsidTr="001730E7">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30E7" w:rsidRDefault="001730E7">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2700/04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121-23</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jc w:val="center"/>
                    <w:rPr>
                      <w:rFonts w:ascii="Arial" w:hAnsi="Arial" w:cs="Arial"/>
                      <w:sz w:val="20"/>
                      <w:szCs w:val="20"/>
                    </w:rPr>
                  </w:pPr>
                  <w:r>
                    <w:rPr>
                      <w:rFonts w:ascii="Arial" w:hAnsi="Arial" w:cs="Arial"/>
                      <w:sz w:val="20"/>
                      <w:szCs w:val="20"/>
                    </w:rPr>
                    <w:t>1337.0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64.47*</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89.910</w:t>
                  </w:r>
                </w:p>
              </w:tc>
            </w:tr>
            <w:tr w:rsidR="001730E7" w:rsidTr="001730E7">
              <w:trPr>
                <w:trHeight w:val="257"/>
              </w:trPr>
              <w:tc>
                <w:tcPr>
                  <w:tcW w:w="1528"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rsidR="001730E7" w:rsidRDefault="001730E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Settlement</w:t>
                  </w:r>
                </w:p>
              </w:tc>
              <w:tc>
                <w:tcPr>
                  <w:tcW w:w="1607"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1730E7" w:rsidRDefault="001730E7">
                  <w:pPr>
                    <w:jc w:val="center"/>
                    <w:rPr>
                      <w:rFonts w:ascii="Arial" w:hAnsi="Arial" w:cs="Arial"/>
                      <w:sz w:val="20"/>
                      <w:szCs w:val="20"/>
                    </w:rPr>
                  </w:pPr>
                  <w:r>
                    <w:rPr>
                      <w:rFonts w:ascii="Arial" w:hAnsi="Arial" w:cs="Arial"/>
                      <w:sz w:val="20"/>
                      <w:szCs w:val="20"/>
                    </w:rPr>
                    <w:t>2694.25</w:t>
                  </w:r>
                </w:p>
              </w:tc>
              <w:tc>
                <w:tcPr>
                  <w:tcW w:w="162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1730E7" w:rsidRDefault="001730E7">
                  <w:pPr>
                    <w:jc w:val="center"/>
                    <w:rPr>
                      <w:rFonts w:ascii="Arial" w:hAnsi="Arial" w:cs="Arial"/>
                      <w:sz w:val="20"/>
                      <w:szCs w:val="20"/>
                    </w:rPr>
                  </w:pPr>
                  <w:r>
                    <w:rPr>
                      <w:rFonts w:ascii="Arial" w:hAnsi="Arial" w:cs="Arial"/>
                      <w:sz w:val="20"/>
                      <w:szCs w:val="20"/>
                    </w:rPr>
                    <w:t>121-15+</w:t>
                  </w:r>
                </w:p>
              </w:tc>
              <w:tc>
                <w:tcPr>
                  <w:tcW w:w="17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1730E7" w:rsidRDefault="001730E7">
                  <w:pPr>
                    <w:jc w:val="center"/>
                    <w:rPr>
                      <w:rFonts w:ascii="Arial" w:hAnsi="Arial" w:cs="Arial"/>
                      <w:sz w:val="20"/>
                      <w:szCs w:val="20"/>
                    </w:rPr>
                  </w:pPr>
                  <w:r>
                    <w:rPr>
                      <w:rFonts w:ascii="Arial" w:hAnsi="Arial" w:cs="Arial"/>
                      <w:sz w:val="20"/>
                      <w:szCs w:val="20"/>
                    </w:rPr>
                    <w:t>1329.5</w:t>
                  </w:r>
                </w:p>
              </w:tc>
              <w:tc>
                <w:tcPr>
                  <w:tcW w:w="17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1730E7" w:rsidRDefault="001730E7">
                  <w:pPr>
                    <w:jc w:val="center"/>
                    <w:rPr>
                      <w:rFonts w:ascii="Arial" w:hAnsi="Arial" w:cs="Arial"/>
                      <w:sz w:val="20"/>
                      <w:szCs w:val="20"/>
                    </w:rPr>
                  </w:pPr>
                  <w:r>
                    <w:rPr>
                      <w:rFonts w:ascii="Arial" w:hAnsi="Arial" w:cs="Arial"/>
                      <w:sz w:val="20"/>
                      <w:szCs w:val="20"/>
                    </w:rPr>
                    <w:t>63.39</w:t>
                  </w:r>
                </w:p>
              </w:tc>
              <w:tc>
                <w:tcPr>
                  <w:tcW w:w="162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rsidR="001730E7" w:rsidRDefault="001730E7">
                  <w:pPr>
                    <w:jc w:val="center"/>
                    <w:rPr>
                      <w:rFonts w:ascii="Arial" w:hAnsi="Arial" w:cs="Arial"/>
                      <w:sz w:val="20"/>
                      <w:szCs w:val="20"/>
                    </w:rPr>
                  </w:pPr>
                  <w:r>
                    <w:rPr>
                      <w:rFonts w:ascii="Arial" w:hAnsi="Arial" w:cs="Arial"/>
                      <w:sz w:val="20"/>
                      <w:szCs w:val="20"/>
                    </w:rPr>
                    <w:t>89.451</w:t>
                  </w:r>
                </w:p>
              </w:tc>
            </w:tr>
            <w:tr w:rsidR="001730E7" w:rsidTr="001730E7">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30E7" w:rsidRDefault="001730E7">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2677.00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121-06+</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1318/22*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63.00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89.280</w:t>
                  </w:r>
                </w:p>
              </w:tc>
            </w:tr>
            <w:tr w:rsidR="001730E7" w:rsidTr="001730E7">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30E7" w:rsidRDefault="001730E7">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2657.50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121-00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1300/02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62.55/65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88.890</w:t>
                  </w:r>
                </w:p>
              </w:tc>
            </w:tr>
            <w:tr w:rsidR="001730E7" w:rsidTr="001730E7">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30E7" w:rsidRDefault="001730E7">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2635.00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120-18</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1291.0*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61.54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88.250</w:t>
                  </w:r>
                </w:p>
              </w:tc>
            </w:tr>
            <w:tr w:rsidR="001730E7" w:rsidTr="001730E7">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30E7" w:rsidRDefault="001730E7">
                  <w:pPr>
                    <w:autoSpaceDE w:val="0"/>
                    <w:autoSpaceDN w:val="0"/>
                    <w:spacing w:before="100" w:beforeAutospacing="1" w:after="100" w:afterAutospacing="1"/>
                    <w:rPr>
                      <w:rFonts w:ascii="Arial" w:hAnsi="Arial" w:cs="Arial"/>
                      <w:color w:val="3B3838"/>
                      <w:sz w:val="20"/>
                      <w:szCs w:val="20"/>
                    </w:rPr>
                  </w:pP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2614.50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119-28*</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1270.0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b/>
                      <w:color w:val="0000FF"/>
                      <w:sz w:val="20"/>
                      <w:szCs w:val="20"/>
                    </w:rPr>
                  </w:pPr>
                  <w:r>
                    <w:rPr>
                      <w:rFonts w:ascii="Arial" w:hAnsi="Arial" w:cs="Arial"/>
                      <w:b/>
                      <w:color w:val="0000FF"/>
                      <w:sz w:val="20"/>
                      <w:szCs w:val="20"/>
                    </w:rPr>
                    <w:t>60.89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88.000</w:t>
                  </w:r>
                </w:p>
              </w:tc>
            </w:tr>
            <w:tr w:rsidR="001730E7" w:rsidTr="001730E7">
              <w:trPr>
                <w:trHeight w:val="257"/>
              </w:trPr>
              <w:tc>
                <w:tcPr>
                  <w:tcW w:w="1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Support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2595.50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bCs/>
                      <w:sz w:val="20"/>
                      <w:szCs w:val="20"/>
                    </w:rPr>
                  </w:pPr>
                  <w:r>
                    <w:rPr>
                      <w:rFonts w:ascii="Arial" w:hAnsi="Arial" w:cs="Arial"/>
                      <w:bCs/>
                      <w:sz w:val="20"/>
                      <w:szCs w:val="20"/>
                    </w:rPr>
                    <w:t>119-10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1265.5*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60.00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1730E7" w:rsidRDefault="001730E7">
                  <w:pPr>
                    <w:autoSpaceDE w:val="0"/>
                    <w:autoSpaceDN w:val="0"/>
                    <w:spacing w:before="100" w:beforeAutospacing="1" w:after="100" w:afterAutospacing="1"/>
                    <w:jc w:val="center"/>
                    <w:rPr>
                      <w:rFonts w:ascii="Arial" w:hAnsi="Arial" w:cs="Arial"/>
                      <w:sz w:val="20"/>
                      <w:szCs w:val="20"/>
                    </w:rPr>
                  </w:pPr>
                  <w:r>
                    <w:rPr>
                      <w:rFonts w:ascii="Arial" w:hAnsi="Arial" w:cs="Arial"/>
                      <w:sz w:val="20"/>
                      <w:szCs w:val="20"/>
                    </w:rPr>
                    <w:t>87.100</w:t>
                  </w:r>
                </w:p>
              </w:tc>
            </w:tr>
          </w:tbl>
          <w:p w:rsidR="001730E7" w:rsidRDefault="001730E7" w:rsidP="001730E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Colors within the report: </w:t>
            </w:r>
            <w:r>
              <w:rPr>
                <w:rFonts w:ascii="Arial" w:hAnsi="Arial" w:cs="Arial"/>
                <w:b/>
                <w:bCs/>
                <w:color w:val="009900"/>
                <w:sz w:val="20"/>
                <w:szCs w:val="20"/>
              </w:rPr>
              <w:t>Green</w:t>
            </w:r>
            <w:r>
              <w:rPr>
                <w:rFonts w:ascii="Arial" w:hAnsi="Arial" w:cs="Arial"/>
                <w:color w:val="3B3838"/>
                <w:sz w:val="20"/>
                <w:szCs w:val="20"/>
              </w:rPr>
              <w:t xml:space="preserve"> is always the 200 period (day, week, etc.). </w:t>
            </w:r>
            <w:r>
              <w:rPr>
                <w:rFonts w:ascii="Arial" w:hAnsi="Arial" w:cs="Arial"/>
                <w:b/>
                <w:bCs/>
                <w:color w:val="FF0000"/>
                <w:sz w:val="20"/>
                <w:szCs w:val="20"/>
              </w:rPr>
              <w:t>Red</w:t>
            </w:r>
            <w:r>
              <w:rPr>
                <w:rFonts w:ascii="Arial" w:hAnsi="Arial" w:cs="Arial"/>
                <w:color w:val="3B3838"/>
                <w:sz w:val="20"/>
                <w:szCs w:val="20"/>
              </w:rPr>
              <w:t xml:space="preserve"> is always 21, </w:t>
            </w:r>
            <w:r>
              <w:rPr>
                <w:rFonts w:ascii="Arial" w:hAnsi="Arial" w:cs="Arial"/>
                <w:b/>
                <w:bCs/>
                <w:color w:val="0033CC"/>
                <w:sz w:val="20"/>
                <w:szCs w:val="20"/>
              </w:rPr>
              <w:t>Blue</w:t>
            </w:r>
            <w:r>
              <w:rPr>
                <w:rFonts w:ascii="Arial" w:hAnsi="Arial" w:cs="Arial"/>
                <w:color w:val="3B3838"/>
                <w:sz w:val="20"/>
                <w:szCs w:val="20"/>
              </w:rPr>
              <w:t xml:space="preserve"> = 50, </w:t>
            </w:r>
            <w:r>
              <w:rPr>
                <w:rFonts w:ascii="Arial" w:hAnsi="Arial" w:cs="Arial"/>
                <w:b/>
                <w:bCs/>
                <w:color w:val="C00000"/>
                <w:sz w:val="20"/>
                <w:szCs w:val="20"/>
              </w:rPr>
              <w:t>Brown</w:t>
            </w:r>
            <w:r>
              <w:rPr>
                <w:rFonts w:ascii="Arial" w:hAnsi="Arial" w:cs="Arial"/>
                <w:color w:val="3B3838"/>
                <w:sz w:val="20"/>
                <w:szCs w:val="20"/>
              </w:rPr>
              <w:t xml:space="preserve"> = 100,  </w:t>
            </w:r>
            <w:r>
              <w:rPr>
                <w:rFonts w:ascii="Arial" w:hAnsi="Arial" w:cs="Arial"/>
                <w:b/>
                <w:bCs/>
                <w:color w:val="BF9000"/>
                <w:sz w:val="20"/>
                <w:szCs w:val="20"/>
              </w:rPr>
              <w:t>Yellow</w:t>
            </w:r>
            <w:r>
              <w:rPr>
                <w:rFonts w:ascii="Arial" w:hAnsi="Arial" w:cs="Arial"/>
                <w:color w:val="3B3838"/>
                <w:sz w:val="20"/>
                <w:szCs w:val="20"/>
              </w:rPr>
              <w:t xml:space="preserve"> is vwap.  *Stars have more emphasis, meaning 2 or more technical pts line up</w:t>
            </w:r>
          </w:p>
          <w:p w:rsidR="001730E7" w:rsidRDefault="001730E7" w:rsidP="001730E7">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 xml:space="preserve">EQUITIES: </w:t>
            </w:r>
            <w:r>
              <w:rPr>
                <w:rFonts w:ascii="Arial" w:hAnsi="Arial" w:cs="Arial"/>
                <w:color w:val="3B3838"/>
                <w:sz w:val="20"/>
                <w:szCs w:val="20"/>
              </w:rPr>
              <w:t xml:space="preserve">   ES rallies +6% from the overnight lows, finishes +1% on the year. Retail investors are busy: Friday was the second busiest trading day in Fidelity’s history, and Monday was THE busiest trading day ever </w:t>
            </w:r>
            <w:hyperlink r:id="rId7" w:history="1">
              <w:r>
                <w:rPr>
                  <w:rStyle w:val="Hyperlink"/>
                  <w:rFonts w:ascii="Arial" w:hAnsi="Arial" w:cs="Arial"/>
                  <w:sz w:val="20"/>
                  <w:szCs w:val="20"/>
                </w:rPr>
                <w:t>link</w:t>
              </w:r>
            </w:hyperlink>
          </w:p>
          <w:p w:rsidR="001730E7" w:rsidRDefault="001730E7" w:rsidP="001730E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ESH8: held its 200dma, but we may need to see the SPX hit the 200 day for a real test of this key support.</w:t>
            </w:r>
          </w:p>
          <w:p w:rsidR="001730E7" w:rsidRDefault="001730E7" w:rsidP="001730E7">
            <w:pPr>
              <w:autoSpaceDE w:val="0"/>
              <w:autoSpaceDN w:val="0"/>
              <w:spacing w:before="100" w:beforeAutospacing="1" w:after="100" w:afterAutospacing="1"/>
              <w:rPr>
                <w:noProof/>
              </w:rPr>
            </w:pPr>
            <w:r>
              <w:rPr>
                <w:noProof/>
              </w:rPr>
              <w:drawing>
                <wp:inline distT="0" distB="0" distL="0" distR="0" wp14:anchorId="282C2A48" wp14:editId="415EDB5B">
                  <wp:extent cx="6257925" cy="28003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7925" cy="2800350"/>
                          </a:xfrm>
                          <a:prstGeom prst="rect">
                            <a:avLst/>
                          </a:prstGeom>
                          <a:noFill/>
                          <a:ln>
                            <a:noFill/>
                          </a:ln>
                        </pic:spPr>
                      </pic:pic>
                    </a:graphicData>
                  </a:graphic>
                </wp:inline>
              </w:drawing>
            </w:r>
          </w:p>
          <w:p w:rsidR="001730E7" w:rsidRDefault="001730E7" w:rsidP="001730E7">
            <w:pPr>
              <w:autoSpaceDE w:val="0"/>
              <w:autoSpaceDN w:val="0"/>
              <w:spacing w:before="100" w:beforeAutospacing="1" w:after="100" w:afterAutospacing="1"/>
              <w:rPr>
                <w:rFonts w:ascii="Arial" w:hAnsi="Arial" w:cs="Arial"/>
                <w:noProof/>
                <w:sz w:val="20"/>
                <w:szCs w:val="20"/>
              </w:rPr>
            </w:pPr>
            <w:r>
              <w:rPr>
                <w:rFonts w:ascii="Arial" w:hAnsi="Arial" w:cs="Arial"/>
                <w:noProof/>
                <w:sz w:val="20"/>
                <w:szCs w:val="20"/>
              </w:rPr>
              <w:t>SPX pulled back approximately 38.2% of the recent decline and using this area as initial pivotal pt resistance</w:t>
            </w:r>
          </w:p>
          <w:p w:rsidR="001730E7" w:rsidRDefault="001730E7" w:rsidP="001730E7">
            <w:pPr>
              <w:autoSpaceDE w:val="0"/>
              <w:autoSpaceDN w:val="0"/>
              <w:spacing w:before="100" w:beforeAutospacing="1" w:after="100" w:afterAutospacing="1"/>
              <w:rPr>
                <w:noProof/>
              </w:rPr>
            </w:pPr>
            <w:r>
              <w:rPr>
                <w:noProof/>
              </w:rPr>
              <w:drawing>
                <wp:inline distT="0" distB="0" distL="0" distR="0" wp14:anchorId="6F120BAC" wp14:editId="2256A89E">
                  <wp:extent cx="6276975" cy="27717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6975" cy="2771775"/>
                          </a:xfrm>
                          <a:prstGeom prst="rect">
                            <a:avLst/>
                          </a:prstGeom>
                          <a:noFill/>
                          <a:ln>
                            <a:noFill/>
                          </a:ln>
                        </pic:spPr>
                      </pic:pic>
                    </a:graphicData>
                  </a:graphic>
                </wp:inline>
              </w:drawing>
            </w:r>
          </w:p>
          <w:p w:rsidR="001730E7" w:rsidRDefault="001730E7" w:rsidP="001730E7">
            <w:pPr>
              <w:autoSpaceDE w:val="0"/>
              <w:autoSpaceDN w:val="0"/>
              <w:spacing w:before="100" w:beforeAutospacing="1" w:after="100" w:afterAutospacing="1"/>
              <w:rPr>
                <w:rFonts w:ascii="Arial" w:hAnsi="Arial" w:cs="Arial"/>
                <w:noProof/>
                <w:sz w:val="20"/>
                <w:szCs w:val="20"/>
              </w:rPr>
            </w:pPr>
            <w:r>
              <w:rPr>
                <w:rFonts w:ascii="Arial" w:hAnsi="Arial" w:cs="Arial"/>
                <w:noProof/>
                <w:sz w:val="20"/>
                <w:szCs w:val="20"/>
              </w:rPr>
              <w:t xml:space="preserve">This is probably the most positive chart in the equity indices.  </w:t>
            </w:r>
            <w:r>
              <w:rPr>
                <w:rFonts w:ascii="Arial" w:hAnsi="Arial" w:cs="Arial"/>
                <w:b/>
                <w:noProof/>
                <w:sz w:val="20"/>
                <w:szCs w:val="20"/>
              </w:rPr>
              <w:t xml:space="preserve">QQQ again holding its 100dma. </w:t>
            </w:r>
            <w:r>
              <w:rPr>
                <w:rFonts w:ascii="Arial" w:hAnsi="Arial" w:cs="Arial"/>
                <w:noProof/>
                <w:sz w:val="20"/>
                <w:szCs w:val="20"/>
              </w:rPr>
              <w:t>163 is half way back of the recent decline and likely pivotal short term. 167.57 is the .786 retrace. NQH would likely see some weakness today below 6560. Key s/t resistance at 6747*, 6878**</w:t>
            </w:r>
          </w:p>
          <w:p w:rsidR="001730E7" w:rsidRDefault="001730E7" w:rsidP="001730E7">
            <w:pPr>
              <w:autoSpaceDE w:val="0"/>
              <w:autoSpaceDN w:val="0"/>
              <w:spacing w:before="100" w:beforeAutospacing="1" w:after="100" w:afterAutospacing="1"/>
              <w:rPr>
                <w:noProof/>
              </w:rPr>
            </w:pPr>
            <w:r>
              <w:rPr>
                <w:noProof/>
              </w:rPr>
              <w:drawing>
                <wp:inline distT="0" distB="0" distL="0" distR="0" wp14:anchorId="718F74DC" wp14:editId="2783165B">
                  <wp:extent cx="6257925" cy="29718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7925" cy="2971800"/>
                          </a:xfrm>
                          <a:prstGeom prst="rect">
                            <a:avLst/>
                          </a:prstGeom>
                          <a:noFill/>
                          <a:ln>
                            <a:noFill/>
                          </a:ln>
                        </pic:spPr>
                      </pic:pic>
                    </a:graphicData>
                  </a:graphic>
                </wp:inline>
              </w:drawing>
            </w:r>
          </w:p>
          <w:p w:rsidR="001730E7" w:rsidRDefault="001730E7" w:rsidP="001730E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XIV announces liquidation set for later this month.  ProShares assured investors the SVXY is alive and well… The Financial Industry Regulatory Authority has warned about volatility-linked ETNs, saying they aren't being properly recommended to investors.</w:t>
            </w:r>
            <w:r>
              <w:t xml:space="preserve"> </w:t>
            </w:r>
            <w:r>
              <w:rPr>
                <w:rFonts w:ascii="Arial" w:hAnsi="Arial" w:cs="Arial"/>
                <w:color w:val="3B3838"/>
                <w:sz w:val="20"/>
                <w:szCs w:val="20"/>
              </w:rPr>
              <w:t xml:space="preserve">Barclays estimated Volatility Target funds will sell about $225 billion worth of stocks in the next few days to reduce their leverage – </w:t>
            </w:r>
            <w:hyperlink r:id="rId11" w:history="1">
              <w:r>
                <w:rPr>
                  <w:rStyle w:val="Hyperlink"/>
                  <w:rFonts w:ascii="Arial" w:hAnsi="Arial" w:cs="Arial"/>
                  <w:sz w:val="20"/>
                  <w:szCs w:val="20"/>
                </w:rPr>
                <w:t>CNBC</w:t>
              </w:r>
            </w:hyperlink>
            <w:r>
              <w:rPr>
                <w:rFonts w:ascii="Arial" w:hAnsi="Arial" w:cs="Arial"/>
                <w:color w:val="3B3838"/>
                <w:sz w:val="20"/>
                <w:szCs w:val="20"/>
              </w:rPr>
              <w:t xml:space="preserve"> .  ZIV is another one to watch as it broke its 200dma for the first time since July 2016, pulling back 50% of the move off the Feb ’16 low. </w:t>
            </w:r>
          </w:p>
          <w:p w:rsidR="001730E7" w:rsidRDefault="001730E7" w:rsidP="001730E7">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6AFD7341" wp14:editId="183B686C">
                  <wp:extent cx="6286500" cy="2486025"/>
                  <wp:effectExtent l="0" t="0" r="0" b="9525"/>
                  <wp:docPr id="32" name="Picture 32" descr="cid:image002.png@01D39F60.68B4C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9F60.68B4C2F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0" cy="2486025"/>
                          </a:xfrm>
                          <a:prstGeom prst="rect">
                            <a:avLst/>
                          </a:prstGeom>
                          <a:noFill/>
                          <a:ln>
                            <a:noFill/>
                          </a:ln>
                        </pic:spPr>
                      </pic:pic>
                    </a:graphicData>
                  </a:graphic>
                </wp:inline>
              </w:drawing>
            </w:r>
          </w:p>
          <w:p w:rsidR="001730E7" w:rsidRDefault="001730E7" w:rsidP="001730E7">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3A21A89D" wp14:editId="384E5D69">
                  <wp:extent cx="6257925" cy="29813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7925" cy="2981325"/>
                          </a:xfrm>
                          <a:prstGeom prst="rect">
                            <a:avLst/>
                          </a:prstGeom>
                          <a:noFill/>
                          <a:ln>
                            <a:noFill/>
                          </a:ln>
                        </pic:spPr>
                      </pic:pic>
                    </a:graphicData>
                  </a:graphic>
                </wp:inline>
              </w:drawing>
            </w:r>
          </w:p>
          <w:p w:rsidR="001730E7" w:rsidRDefault="001730E7" w:rsidP="001730E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Spot Russell 2000 Index also held a key support at its 200dma. RTYH8 has initial resistance at 1517.20, 1541.20* (.618)</w:t>
            </w:r>
          </w:p>
          <w:p w:rsidR="001730E7" w:rsidRDefault="001730E7" w:rsidP="001730E7">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31625ED6" wp14:editId="25DCFB7B">
                  <wp:extent cx="6257925" cy="26289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7925" cy="2628900"/>
                          </a:xfrm>
                          <a:prstGeom prst="rect">
                            <a:avLst/>
                          </a:prstGeom>
                          <a:noFill/>
                          <a:ln>
                            <a:noFill/>
                          </a:ln>
                        </pic:spPr>
                      </pic:pic>
                    </a:graphicData>
                  </a:graphic>
                </wp:inline>
              </w:drawing>
            </w:r>
          </w:p>
          <w:p w:rsidR="001730E7" w:rsidRDefault="001730E7" w:rsidP="001730E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DAX future is holding a negative tone below its 200dma which has been a very good closing pivotal pt. March Eurostoxx has 3298 as long term .382 retrace and key support. </w:t>
            </w:r>
          </w:p>
          <w:p w:rsidR="001730E7" w:rsidRDefault="001730E7" w:rsidP="001730E7">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29A858F4" wp14:editId="3A69561E">
                  <wp:extent cx="6267450" cy="28098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7450" cy="2809875"/>
                          </a:xfrm>
                          <a:prstGeom prst="rect">
                            <a:avLst/>
                          </a:prstGeom>
                          <a:noFill/>
                          <a:ln>
                            <a:noFill/>
                          </a:ln>
                        </pic:spPr>
                      </pic:pic>
                    </a:graphicData>
                  </a:graphic>
                </wp:inline>
              </w:drawing>
            </w:r>
          </w:p>
          <w:p w:rsidR="001730E7" w:rsidRDefault="001730E7" w:rsidP="001730E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Emerging Markets – EEM held its 100dma which it has not closed below since early Jan ’17. MME (future) bounced back 50% of its recent decline at 1214 and has 1151 (100dma) as its closing key support </w:t>
            </w:r>
          </w:p>
          <w:p w:rsidR="001730E7" w:rsidRDefault="001730E7" w:rsidP="001730E7">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76198FB1" wp14:editId="4DAA6E7D">
                  <wp:extent cx="6257925" cy="27432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57925" cy="2743200"/>
                          </a:xfrm>
                          <a:prstGeom prst="rect">
                            <a:avLst/>
                          </a:prstGeom>
                          <a:noFill/>
                          <a:ln>
                            <a:noFill/>
                          </a:ln>
                        </pic:spPr>
                      </pic:pic>
                    </a:graphicData>
                  </a:graphic>
                </wp:inline>
              </w:drawing>
            </w:r>
          </w:p>
          <w:p w:rsidR="001730E7" w:rsidRDefault="001730E7" w:rsidP="001730E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The Shanghai Composite breaks its 50dma which has been a good short term closing key. Nearly fell to the 200dma which held on multiple tests in December and should be seen as major support area. </w:t>
            </w:r>
          </w:p>
          <w:p w:rsidR="001730E7" w:rsidRDefault="001730E7" w:rsidP="001730E7">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1E5D8E8C" wp14:editId="0632623C">
                  <wp:extent cx="6286500" cy="28479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0" cy="2847975"/>
                          </a:xfrm>
                          <a:prstGeom prst="rect">
                            <a:avLst/>
                          </a:prstGeom>
                          <a:noFill/>
                          <a:ln>
                            <a:noFill/>
                          </a:ln>
                        </pic:spPr>
                      </pic:pic>
                    </a:graphicData>
                  </a:graphic>
                </wp:inline>
              </w:drawing>
            </w:r>
          </w:p>
          <w:p w:rsidR="00EE1637" w:rsidRDefault="00EE1637" w:rsidP="00EE1637">
            <w:pPr>
              <w:autoSpaceDE w:val="0"/>
              <w:autoSpaceDN w:val="0"/>
              <w:spacing w:before="100" w:beforeAutospacing="1" w:after="100" w:afterAutospacing="1"/>
              <w:jc w:val="center"/>
              <w:rPr>
                <w:rFonts w:ascii="Arial" w:hAnsi="Arial" w:cs="Arial"/>
                <w:color w:val="3B3838"/>
                <w:sz w:val="20"/>
                <w:szCs w:val="20"/>
              </w:rPr>
            </w:pPr>
            <w:r>
              <w:rPr>
                <w:rFonts w:ascii="Arial" w:hAnsi="Arial" w:cs="Arial"/>
                <w:b/>
                <w:bCs/>
                <w:color w:val="3B3838"/>
              </w:rPr>
              <w:t>TACTICAL ALLOCATION: RELATIVE VALUE/STRENGTH</w:t>
            </w:r>
          </w:p>
          <w:p w:rsidR="00EE1637" w:rsidRDefault="00EE1637" w:rsidP="00EE1637">
            <w:pPr>
              <w:autoSpaceDE w:val="0"/>
              <w:autoSpaceDN w:val="0"/>
              <w:spacing w:before="100" w:beforeAutospacing="1" w:after="100" w:afterAutospacing="1"/>
              <w:jc w:val="center"/>
              <w:rPr>
                <w:rFonts w:ascii="Arial" w:hAnsi="Arial" w:cs="Arial"/>
                <w:color w:val="3B3838"/>
                <w:sz w:val="20"/>
                <w:szCs w:val="20"/>
              </w:rPr>
            </w:pPr>
            <w:r>
              <w:rPr>
                <w:noProof/>
              </w:rPr>
              <w:drawing>
                <wp:inline distT="0" distB="0" distL="0" distR="0" wp14:anchorId="55EF5550" wp14:editId="59A8BCC5">
                  <wp:extent cx="4781550" cy="16192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1550" cy="1619250"/>
                          </a:xfrm>
                          <a:prstGeom prst="rect">
                            <a:avLst/>
                          </a:prstGeom>
                          <a:noFill/>
                          <a:ln>
                            <a:noFill/>
                          </a:ln>
                        </pic:spPr>
                      </pic:pic>
                    </a:graphicData>
                  </a:graphic>
                </wp:inline>
              </w:drawing>
            </w:r>
          </w:p>
          <w:p w:rsidR="00EE1637" w:rsidRDefault="00EE1637" w:rsidP="00EE1637">
            <w:pPr>
              <w:autoSpaceDE w:val="0"/>
              <w:autoSpaceDN w:val="0"/>
              <w:spacing w:before="100" w:beforeAutospacing="1" w:after="100" w:afterAutospacing="1" w:line="276" w:lineRule="auto"/>
              <w:rPr>
                <w:rFonts w:ascii="Arial" w:hAnsi="Arial" w:cs="Arial"/>
                <w:color w:val="3B3838"/>
                <w:sz w:val="20"/>
                <w:szCs w:val="20"/>
              </w:rPr>
            </w:pPr>
            <w:r>
              <w:rPr>
                <w:rFonts w:ascii="Arial" w:hAnsi="Arial" w:cs="Arial"/>
                <w:color w:val="3B3838"/>
                <w:sz w:val="20"/>
                <w:szCs w:val="20"/>
              </w:rPr>
              <w:t xml:space="preserve">This is the relative strength, </w:t>
            </w:r>
            <w:proofErr w:type="gramStart"/>
            <w:r>
              <w:rPr>
                <w:rFonts w:ascii="Arial" w:hAnsi="Arial" w:cs="Arial"/>
                <w:color w:val="3B3838"/>
                <w:sz w:val="20"/>
                <w:szCs w:val="20"/>
              </w:rPr>
              <w:t>pairs</w:t>
            </w:r>
            <w:proofErr w:type="gramEnd"/>
            <w:r>
              <w:rPr>
                <w:rFonts w:ascii="Arial" w:hAnsi="Arial" w:cs="Arial"/>
                <w:color w:val="3B3838"/>
                <w:sz w:val="20"/>
                <w:szCs w:val="20"/>
              </w:rPr>
              <w:t xml:space="preserve"> trade section.  Many times looking at a certain commodity relative to another can give you a perspective that you just cannot get looking at the individual.  Even if you don’t trade pairs, looking at your market this way can be valuable.  The above reads vertical column relative to horizontal. A little more mixed today</w:t>
            </w:r>
          </w:p>
          <w:p w:rsidR="00EE1637" w:rsidRDefault="00EE1637" w:rsidP="00EE1637">
            <w:pPr>
              <w:autoSpaceDE w:val="0"/>
              <w:autoSpaceDN w:val="0"/>
              <w:spacing w:before="100" w:beforeAutospacing="1" w:after="100" w:afterAutospacing="1" w:line="276" w:lineRule="auto"/>
              <w:rPr>
                <w:rFonts w:ascii="Arial" w:hAnsi="Arial" w:cs="Arial"/>
                <w:color w:val="3B3838"/>
                <w:sz w:val="20"/>
                <w:szCs w:val="20"/>
              </w:rPr>
            </w:pPr>
            <w:r>
              <w:rPr>
                <w:rFonts w:ascii="Arial" w:hAnsi="Arial" w:cs="Arial"/>
                <w:color w:val="3B3838"/>
                <w:sz w:val="20"/>
                <w:szCs w:val="20"/>
              </w:rPr>
              <w:t>TLT/SPY held the short term trend line resistance yesterday and using this line as an initial key</w:t>
            </w:r>
          </w:p>
          <w:p w:rsidR="00EE1637" w:rsidRDefault="00EE1637" w:rsidP="00EE1637">
            <w:pPr>
              <w:autoSpaceDE w:val="0"/>
              <w:autoSpaceDN w:val="0"/>
              <w:spacing w:before="100" w:beforeAutospacing="1" w:after="100" w:afterAutospacing="1"/>
              <w:rPr>
                <w:rFonts w:ascii="Arial" w:hAnsi="Arial" w:cs="Arial"/>
                <w:sz w:val="20"/>
                <w:szCs w:val="20"/>
              </w:rPr>
            </w:pPr>
            <w:r>
              <w:rPr>
                <w:noProof/>
              </w:rPr>
              <w:drawing>
                <wp:inline distT="0" distB="0" distL="0" distR="0" wp14:anchorId="395EC22F" wp14:editId="034C5F24">
                  <wp:extent cx="6238875" cy="27717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38875" cy="2771775"/>
                          </a:xfrm>
                          <a:prstGeom prst="rect">
                            <a:avLst/>
                          </a:prstGeom>
                          <a:noFill/>
                          <a:ln>
                            <a:noFill/>
                          </a:ln>
                        </pic:spPr>
                      </pic:pic>
                    </a:graphicData>
                  </a:graphic>
                </wp:inline>
              </w:drawing>
            </w:r>
          </w:p>
          <w:p w:rsidR="00EE1637" w:rsidRDefault="00EE1637" w:rsidP="00EE1637">
            <w:pPr>
              <w:autoSpaceDE w:val="0"/>
              <w:autoSpaceDN w:val="0"/>
              <w:spacing w:before="100" w:beforeAutospacing="1" w:after="100" w:afterAutospacing="1"/>
              <w:rPr>
                <w:rFonts w:ascii="Arial" w:hAnsi="Arial" w:cs="Arial"/>
                <w:sz w:val="20"/>
                <w:szCs w:val="20"/>
              </w:rPr>
            </w:pPr>
            <w:r>
              <w:rPr>
                <w:rFonts w:ascii="Arial" w:hAnsi="Arial" w:cs="Arial"/>
                <w:b/>
                <w:sz w:val="20"/>
                <w:szCs w:val="20"/>
              </w:rPr>
              <w:t xml:space="preserve">PASSIVE INVESTMENT STRATEGY: </w:t>
            </w:r>
            <w:r>
              <w:rPr>
                <w:rFonts w:ascii="Arial" w:hAnsi="Arial" w:cs="Arial"/>
                <w:sz w:val="20"/>
                <w:szCs w:val="20"/>
              </w:rPr>
              <w:t xml:space="preserve">the top chart is being long TLT and SPY 50/50 split.  Negative after breaking the trend line that held throughout 2017, but bounced back to the trend line. Chart two below is the weekly chart with a 60% equity/40% fixed income split. Held the two year trend line in this allocation mix. </w:t>
            </w:r>
          </w:p>
          <w:p w:rsidR="00EE1637" w:rsidRDefault="00EE1637" w:rsidP="00EE1637">
            <w:pPr>
              <w:autoSpaceDE w:val="0"/>
              <w:autoSpaceDN w:val="0"/>
              <w:spacing w:before="100" w:beforeAutospacing="1" w:after="100" w:afterAutospacing="1"/>
              <w:rPr>
                <w:rFonts w:ascii="Arial" w:hAnsi="Arial" w:cs="Arial"/>
                <w:sz w:val="20"/>
                <w:szCs w:val="20"/>
              </w:rPr>
            </w:pPr>
            <w:r>
              <w:rPr>
                <w:noProof/>
              </w:rPr>
              <w:drawing>
                <wp:inline distT="0" distB="0" distL="0" distR="0" wp14:anchorId="23EAA84B" wp14:editId="7C471245">
                  <wp:extent cx="6296025" cy="27908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6025" cy="2790825"/>
                          </a:xfrm>
                          <a:prstGeom prst="rect">
                            <a:avLst/>
                          </a:prstGeom>
                          <a:noFill/>
                          <a:ln>
                            <a:noFill/>
                          </a:ln>
                        </pic:spPr>
                      </pic:pic>
                    </a:graphicData>
                  </a:graphic>
                </wp:inline>
              </w:drawing>
            </w:r>
          </w:p>
          <w:p w:rsidR="00EE1637" w:rsidRDefault="00EE1637" w:rsidP="00EE1637">
            <w:pPr>
              <w:autoSpaceDE w:val="0"/>
              <w:autoSpaceDN w:val="0"/>
              <w:spacing w:before="100" w:beforeAutospacing="1" w:after="100" w:afterAutospacing="1"/>
              <w:rPr>
                <w:rFonts w:ascii="Arial" w:hAnsi="Arial" w:cs="Arial"/>
                <w:sz w:val="20"/>
                <w:szCs w:val="20"/>
              </w:rPr>
            </w:pPr>
            <w:r>
              <w:rPr>
                <w:noProof/>
              </w:rPr>
              <w:drawing>
                <wp:inline distT="0" distB="0" distL="0" distR="0" wp14:anchorId="4D94EDC8" wp14:editId="6572F024">
                  <wp:extent cx="6286500" cy="27908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0" cy="2790825"/>
                          </a:xfrm>
                          <a:prstGeom prst="rect">
                            <a:avLst/>
                          </a:prstGeom>
                          <a:noFill/>
                          <a:ln>
                            <a:noFill/>
                          </a:ln>
                        </pic:spPr>
                      </pic:pic>
                    </a:graphicData>
                  </a:graphic>
                </wp:inline>
              </w:drawing>
            </w:r>
          </w:p>
          <w:p w:rsidR="00EE1637" w:rsidRDefault="00EE1637" w:rsidP="00EE1637">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Gold vs ES: gained sharply relative to ES yesterday once above the trend line and tested the .786 retrace before slipping all the way back to the trend line which held today.  </w:t>
            </w:r>
          </w:p>
          <w:p w:rsidR="00EE1637" w:rsidRDefault="00EE1637" w:rsidP="00EE1637">
            <w:pPr>
              <w:autoSpaceDE w:val="0"/>
              <w:autoSpaceDN w:val="0"/>
              <w:spacing w:before="100" w:beforeAutospacing="1" w:after="100" w:afterAutospacing="1"/>
              <w:rPr>
                <w:rFonts w:ascii="Arial" w:hAnsi="Arial" w:cs="Arial"/>
                <w:sz w:val="20"/>
                <w:szCs w:val="20"/>
              </w:rPr>
            </w:pPr>
            <w:r>
              <w:rPr>
                <w:noProof/>
              </w:rPr>
              <w:drawing>
                <wp:inline distT="0" distB="0" distL="0" distR="0" wp14:anchorId="057370CB" wp14:editId="38BADBD0">
                  <wp:extent cx="6267450" cy="29813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67450" cy="2981325"/>
                          </a:xfrm>
                          <a:prstGeom prst="rect">
                            <a:avLst/>
                          </a:prstGeom>
                          <a:noFill/>
                          <a:ln>
                            <a:noFill/>
                          </a:ln>
                        </pic:spPr>
                      </pic:pic>
                    </a:graphicData>
                  </a:graphic>
                </wp:inline>
              </w:drawing>
            </w:r>
          </w:p>
          <w:p w:rsidR="00EE1637" w:rsidRDefault="00EE1637" w:rsidP="00EE1637">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TY vs WTI was oversold and a small bounce as crude oil falters a bit. On guard for potential momentum above the trend line…  </w:t>
            </w:r>
          </w:p>
          <w:p w:rsidR="00EE1637" w:rsidRDefault="00EE1637" w:rsidP="00EE1637">
            <w:pPr>
              <w:autoSpaceDE w:val="0"/>
              <w:autoSpaceDN w:val="0"/>
              <w:spacing w:before="100" w:beforeAutospacing="1" w:after="100" w:afterAutospacing="1"/>
              <w:rPr>
                <w:rFonts w:ascii="Arial" w:hAnsi="Arial" w:cs="Arial"/>
                <w:sz w:val="20"/>
                <w:szCs w:val="20"/>
              </w:rPr>
            </w:pPr>
            <w:r>
              <w:rPr>
                <w:noProof/>
              </w:rPr>
              <w:drawing>
                <wp:inline distT="0" distB="0" distL="0" distR="0" wp14:anchorId="738F79A6" wp14:editId="623AD342">
                  <wp:extent cx="6276975" cy="2847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76975" cy="2847975"/>
                          </a:xfrm>
                          <a:prstGeom prst="rect">
                            <a:avLst/>
                          </a:prstGeom>
                          <a:noFill/>
                          <a:ln>
                            <a:noFill/>
                          </a:ln>
                        </pic:spPr>
                      </pic:pic>
                    </a:graphicData>
                  </a:graphic>
                </wp:inline>
              </w:drawing>
            </w:r>
          </w:p>
          <w:p w:rsidR="00EE1637" w:rsidRDefault="00EE1637" w:rsidP="00EE1637">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Copper vs WTI is holding potential reversal support </w:t>
            </w:r>
          </w:p>
          <w:p w:rsidR="00EE1637" w:rsidRDefault="00EE1637" w:rsidP="00EE1637">
            <w:pPr>
              <w:autoSpaceDE w:val="0"/>
              <w:autoSpaceDN w:val="0"/>
              <w:spacing w:before="100" w:beforeAutospacing="1" w:after="100" w:afterAutospacing="1"/>
              <w:rPr>
                <w:rFonts w:ascii="Arial" w:hAnsi="Arial" w:cs="Arial"/>
                <w:sz w:val="20"/>
                <w:szCs w:val="20"/>
              </w:rPr>
            </w:pPr>
            <w:r>
              <w:rPr>
                <w:noProof/>
              </w:rPr>
              <w:drawing>
                <wp:inline distT="0" distB="0" distL="0" distR="0" wp14:anchorId="05C771DB" wp14:editId="4F67A118">
                  <wp:extent cx="6276975" cy="2828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76975" cy="2828925"/>
                          </a:xfrm>
                          <a:prstGeom prst="rect">
                            <a:avLst/>
                          </a:prstGeom>
                          <a:noFill/>
                          <a:ln>
                            <a:noFill/>
                          </a:ln>
                        </pic:spPr>
                      </pic:pic>
                    </a:graphicData>
                  </a:graphic>
                </wp:inline>
              </w:drawing>
            </w:r>
          </w:p>
          <w:p w:rsidR="00E713A2" w:rsidRDefault="00E713A2" w:rsidP="00E713A2">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 xml:space="preserve">FIXED INCOME:  </w:t>
            </w:r>
            <w:r>
              <w:rPr>
                <w:rFonts w:ascii="Arial" w:hAnsi="Arial" w:cs="Arial"/>
                <w:color w:val="3B3838"/>
                <w:sz w:val="20"/>
                <w:szCs w:val="20"/>
              </w:rPr>
              <w:t> </w:t>
            </w:r>
          </w:p>
          <w:p w:rsidR="00E713A2" w:rsidRDefault="00E713A2" w:rsidP="00E713A2">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TYH remains negative overall below its 200 week moving average.  Weekly RSI was depressed, similarly to December 2016 levels, </w:t>
            </w:r>
            <w:proofErr w:type="gramStart"/>
            <w:r>
              <w:rPr>
                <w:rFonts w:ascii="Arial" w:hAnsi="Arial" w:cs="Arial"/>
                <w:sz w:val="20"/>
                <w:szCs w:val="20"/>
              </w:rPr>
              <w:t>so</w:t>
            </w:r>
            <w:proofErr w:type="gramEnd"/>
            <w:r>
              <w:rPr>
                <w:rFonts w:ascii="Arial" w:hAnsi="Arial" w:cs="Arial"/>
                <w:sz w:val="20"/>
                <w:szCs w:val="20"/>
              </w:rPr>
              <w:t xml:space="preserve"> some pause in momentum was likely. </w:t>
            </w:r>
          </w:p>
          <w:p w:rsidR="00E713A2" w:rsidRDefault="00E713A2" w:rsidP="00E713A2">
            <w:pPr>
              <w:autoSpaceDE w:val="0"/>
              <w:autoSpaceDN w:val="0"/>
              <w:spacing w:before="100" w:beforeAutospacing="1" w:after="100" w:afterAutospacing="1"/>
              <w:rPr>
                <w:rFonts w:ascii="Arial" w:hAnsi="Arial" w:cs="Arial"/>
                <w:sz w:val="20"/>
                <w:szCs w:val="20"/>
              </w:rPr>
            </w:pPr>
            <w:r>
              <w:rPr>
                <w:noProof/>
              </w:rPr>
              <w:drawing>
                <wp:inline distT="0" distB="0" distL="0" distR="0" wp14:anchorId="559BFAF2" wp14:editId="5BF6FEF6">
                  <wp:extent cx="6257925" cy="29622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57925" cy="2962275"/>
                          </a:xfrm>
                          <a:prstGeom prst="rect">
                            <a:avLst/>
                          </a:prstGeom>
                          <a:noFill/>
                          <a:ln>
                            <a:noFill/>
                          </a:ln>
                        </pic:spPr>
                      </pic:pic>
                    </a:graphicData>
                  </a:graphic>
                </wp:inline>
              </w:drawing>
            </w:r>
          </w:p>
          <w:p w:rsidR="00E713A2" w:rsidRDefault="00E713A2" w:rsidP="00E713A2">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10 year yield is holding above the Dec ’16 high which is initial support in yield </w:t>
            </w:r>
          </w:p>
          <w:p w:rsidR="00E713A2" w:rsidRDefault="00E713A2" w:rsidP="00E713A2">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2DA01689" wp14:editId="718D4036">
                  <wp:extent cx="6267450" cy="2800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67450" cy="2800350"/>
                          </a:xfrm>
                          <a:prstGeom prst="rect">
                            <a:avLst/>
                          </a:prstGeom>
                          <a:noFill/>
                          <a:ln>
                            <a:noFill/>
                          </a:ln>
                        </pic:spPr>
                      </pic:pic>
                    </a:graphicData>
                  </a:graphic>
                </wp:inline>
              </w:drawing>
            </w:r>
          </w:p>
          <w:p w:rsidR="00E713A2" w:rsidRDefault="00E713A2" w:rsidP="00E713A2">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USH8: remains negative below the 200 week moving average. Short term supports at 145-14/15, 144-28. Short term resistance levels: 146-18, 147-07 </w:t>
            </w:r>
          </w:p>
          <w:p w:rsidR="00E713A2" w:rsidRDefault="00E713A2" w:rsidP="00E713A2">
            <w:pPr>
              <w:autoSpaceDE w:val="0"/>
              <w:autoSpaceDN w:val="0"/>
              <w:spacing w:before="100" w:beforeAutospacing="1" w:after="100" w:afterAutospacing="1"/>
              <w:rPr>
                <w:rFonts w:ascii="Arial" w:hAnsi="Arial" w:cs="Arial"/>
                <w:sz w:val="20"/>
                <w:szCs w:val="20"/>
              </w:rPr>
            </w:pPr>
            <w:r>
              <w:rPr>
                <w:noProof/>
              </w:rPr>
              <w:drawing>
                <wp:inline distT="0" distB="0" distL="0" distR="0" wp14:anchorId="52E54B88" wp14:editId="418F7A3F">
                  <wp:extent cx="6267450" cy="2809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67450" cy="2809875"/>
                          </a:xfrm>
                          <a:prstGeom prst="rect">
                            <a:avLst/>
                          </a:prstGeom>
                          <a:noFill/>
                          <a:ln>
                            <a:noFill/>
                          </a:ln>
                        </pic:spPr>
                      </pic:pic>
                    </a:graphicData>
                  </a:graphic>
                </wp:inline>
              </w:drawing>
            </w:r>
          </w:p>
          <w:p w:rsidR="00E713A2" w:rsidRDefault="00E713A2" w:rsidP="00E713A2">
            <w:pPr>
              <w:autoSpaceDE w:val="0"/>
              <w:autoSpaceDN w:val="0"/>
              <w:spacing w:before="100" w:beforeAutospacing="1" w:after="100" w:afterAutospacing="1"/>
              <w:rPr>
                <w:rFonts w:ascii="Arial" w:hAnsi="Arial" w:cs="Arial"/>
                <w:sz w:val="20"/>
                <w:szCs w:val="20"/>
              </w:rPr>
            </w:pPr>
            <w:r>
              <w:rPr>
                <w:rFonts w:ascii="Arial" w:hAnsi="Arial" w:cs="Arial"/>
                <w:sz w:val="20"/>
                <w:szCs w:val="20"/>
              </w:rPr>
              <w:t>2/10 yield curve has .745% as pivotal pt. Above this level we would look for 1%, then 1.365%*;  .670% is initial support area</w:t>
            </w:r>
          </w:p>
          <w:p w:rsidR="00E713A2" w:rsidRDefault="00E713A2" w:rsidP="00E713A2">
            <w:pPr>
              <w:autoSpaceDE w:val="0"/>
              <w:autoSpaceDN w:val="0"/>
              <w:spacing w:before="100" w:beforeAutospacing="1" w:after="100" w:afterAutospacing="1"/>
              <w:rPr>
                <w:rFonts w:ascii="Arial" w:hAnsi="Arial" w:cs="Arial"/>
                <w:sz w:val="20"/>
                <w:szCs w:val="20"/>
              </w:rPr>
            </w:pPr>
            <w:r>
              <w:rPr>
                <w:noProof/>
              </w:rPr>
              <w:drawing>
                <wp:inline distT="0" distB="0" distL="0" distR="0" wp14:anchorId="3851948F" wp14:editId="2CBD0B57">
                  <wp:extent cx="6286500" cy="2762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86500" cy="2762250"/>
                          </a:xfrm>
                          <a:prstGeom prst="rect">
                            <a:avLst/>
                          </a:prstGeom>
                          <a:noFill/>
                          <a:ln>
                            <a:noFill/>
                          </a:ln>
                        </pic:spPr>
                      </pic:pic>
                    </a:graphicData>
                  </a:graphic>
                </wp:inline>
              </w:drawing>
            </w:r>
          </w:p>
          <w:p w:rsidR="00772B5D" w:rsidRDefault="00772B5D" w:rsidP="00772B5D">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ENERGY: </w:t>
            </w:r>
            <w:r>
              <w:rPr>
                <w:rFonts w:ascii="Arial" w:hAnsi="Arial" w:cs="Arial"/>
                <w:color w:val="3B3838"/>
                <w:sz w:val="20"/>
                <w:szCs w:val="20"/>
              </w:rPr>
              <w:t xml:space="preserve">  </w:t>
            </w:r>
          </w:p>
          <w:p w:rsidR="00772B5D" w:rsidRDefault="00772B5D" w:rsidP="00772B5D">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March Crude Oil: negative short term below its vwap of the year, using 64.47 as s/t pivotal pt resistance. 62.63 is the .618 retrace of the year and next support. Looking for a test of the 50dma at 60.97. </w:t>
            </w:r>
          </w:p>
          <w:p w:rsidR="00772B5D" w:rsidRDefault="00772B5D" w:rsidP="00772B5D">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6B68D6D4" wp14:editId="30067522">
                  <wp:extent cx="6267450" cy="59912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67450" cy="5991225"/>
                          </a:xfrm>
                          <a:prstGeom prst="rect">
                            <a:avLst/>
                          </a:prstGeom>
                          <a:noFill/>
                          <a:ln>
                            <a:noFill/>
                          </a:ln>
                        </pic:spPr>
                      </pic:pic>
                    </a:graphicData>
                  </a:graphic>
                </wp:inline>
              </w:drawing>
            </w:r>
          </w:p>
          <w:p w:rsidR="00772B5D" w:rsidRDefault="00772B5D" w:rsidP="00772B5D">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March RBOB has been underperforming crude oil and starting to roll over a bit. The .618 retrace is near the year low (1.7809) and is target/pivot. </w:t>
            </w:r>
          </w:p>
          <w:p w:rsidR="00772B5D" w:rsidRDefault="00772B5D" w:rsidP="00772B5D">
            <w:pPr>
              <w:autoSpaceDE w:val="0"/>
              <w:autoSpaceDN w:val="0"/>
              <w:spacing w:before="100" w:beforeAutospacing="1" w:after="100" w:afterAutospacing="1"/>
              <w:rPr>
                <w:rFonts w:ascii="Calibri Light" w:hAnsi="Calibri Light" w:cs="Calibri Light"/>
                <w:color w:val="000099"/>
                <w:sz w:val="22"/>
                <w:szCs w:val="22"/>
              </w:rPr>
            </w:pPr>
            <w:r>
              <w:rPr>
                <w:noProof/>
              </w:rPr>
              <w:drawing>
                <wp:inline distT="0" distB="0" distL="0" distR="0" wp14:anchorId="02C86568" wp14:editId="5CE70844">
                  <wp:extent cx="6267450" cy="2552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67450" cy="2552700"/>
                          </a:xfrm>
                          <a:prstGeom prst="rect">
                            <a:avLst/>
                          </a:prstGeom>
                          <a:noFill/>
                          <a:ln>
                            <a:noFill/>
                          </a:ln>
                        </pic:spPr>
                      </pic:pic>
                    </a:graphicData>
                  </a:graphic>
                </wp:inline>
              </w:drawing>
            </w:r>
          </w:p>
          <w:p w:rsidR="00772B5D" w:rsidRDefault="00772B5D" w:rsidP="00772B5D">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March Nat Gas has the short term .786 retracement </w:t>
            </w:r>
            <w:proofErr w:type="gramStart"/>
            <w:r>
              <w:rPr>
                <w:rFonts w:ascii="Arial" w:hAnsi="Arial" w:cs="Arial"/>
                <w:sz w:val="20"/>
                <w:szCs w:val="20"/>
              </w:rPr>
              <w:t>support</w:t>
            </w:r>
            <w:proofErr w:type="gramEnd"/>
            <w:r>
              <w:rPr>
                <w:rFonts w:ascii="Arial" w:hAnsi="Arial" w:cs="Arial"/>
                <w:sz w:val="20"/>
                <w:szCs w:val="20"/>
              </w:rPr>
              <w:t xml:space="preserve"> at 2.688. Look for this to hold for now. A clean break of this level would likely see long term .618 at 2.50* </w:t>
            </w:r>
          </w:p>
          <w:p w:rsidR="00772B5D" w:rsidRDefault="00772B5D" w:rsidP="00772B5D">
            <w:pPr>
              <w:autoSpaceDE w:val="0"/>
              <w:autoSpaceDN w:val="0"/>
              <w:spacing w:before="100" w:beforeAutospacing="1" w:after="100" w:afterAutospacing="1"/>
              <w:rPr>
                <w:rFonts w:ascii="Arial" w:hAnsi="Arial" w:cs="Arial"/>
                <w:b/>
                <w:bCs/>
                <w:color w:val="3B3838"/>
              </w:rPr>
            </w:pPr>
            <w:r>
              <w:rPr>
                <w:noProof/>
              </w:rPr>
              <w:drawing>
                <wp:inline distT="0" distB="0" distL="0" distR="0" wp14:anchorId="26350F78" wp14:editId="5C9F3540">
                  <wp:extent cx="6257925" cy="2838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57925" cy="2838450"/>
                          </a:xfrm>
                          <a:prstGeom prst="rect">
                            <a:avLst/>
                          </a:prstGeom>
                          <a:noFill/>
                          <a:ln>
                            <a:noFill/>
                          </a:ln>
                        </pic:spPr>
                      </pic:pic>
                    </a:graphicData>
                  </a:graphic>
                </wp:inline>
              </w:drawing>
            </w:r>
          </w:p>
          <w:p w:rsidR="00772B5D" w:rsidRDefault="00772B5D" w:rsidP="00772B5D">
            <w:pPr>
              <w:autoSpaceDE w:val="0"/>
              <w:autoSpaceDN w:val="0"/>
              <w:spacing w:before="100" w:beforeAutospacing="1" w:after="100" w:afterAutospacing="1"/>
              <w:rPr>
                <w:rFonts w:ascii="Arial" w:hAnsi="Arial" w:cs="Arial"/>
                <w:bCs/>
                <w:color w:val="3B3838"/>
                <w:sz w:val="20"/>
                <w:szCs w:val="20"/>
              </w:rPr>
            </w:pPr>
            <w:r>
              <w:rPr>
                <w:rFonts w:ascii="Arial" w:hAnsi="Arial" w:cs="Arial"/>
                <w:bCs/>
                <w:color w:val="3B3838"/>
                <w:sz w:val="20"/>
                <w:szCs w:val="20"/>
              </w:rPr>
              <w:t>The Continuous Commodity Index is seeing key resistance around the 200 week moving average.</w:t>
            </w:r>
          </w:p>
          <w:p w:rsidR="00772B5D" w:rsidRDefault="00772B5D" w:rsidP="00772B5D">
            <w:pPr>
              <w:autoSpaceDE w:val="0"/>
              <w:autoSpaceDN w:val="0"/>
              <w:spacing w:before="100" w:beforeAutospacing="1" w:after="100" w:afterAutospacing="1"/>
              <w:rPr>
                <w:rFonts w:ascii="Arial" w:hAnsi="Arial" w:cs="Arial"/>
                <w:b/>
                <w:bCs/>
                <w:color w:val="3B3838"/>
              </w:rPr>
            </w:pPr>
            <w:r>
              <w:rPr>
                <w:noProof/>
              </w:rPr>
              <w:drawing>
                <wp:inline distT="0" distB="0" distL="0" distR="0" wp14:anchorId="62CABD1A" wp14:editId="16C57B05">
                  <wp:extent cx="6276975" cy="26479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76975" cy="2647950"/>
                          </a:xfrm>
                          <a:prstGeom prst="rect">
                            <a:avLst/>
                          </a:prstGeom>
                          <a:noFill/>
                          <a:ln>
                            <a:noFill/>
                          </a:ln>
                        </pic:spPr>
                      </pic:pic>
                    </a:graphicData>
                  </a:graphic>
                </wp:inline>
              </w:drawing>
            </w:r>
          </w:p>
          <w:p w:rsidR="00945387" w:rsidRDefault="00945387" w:rsidP="00945387">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 xml:space="preserve">METALS: </w:t>
            </w:r>
            <w:r>
              <w:rPr>
                <w:rFonts w:ascii="Arial" w:hAnsi="Arial" w:cs="Arial"/>
                <w:color w:val="3B3838"/>
                <w:sz w:val="20"/>
                <w:szCs w:val="20"/>
              </w:rPr>
              <w:t xml:space="preserve">  </w:t>
            </w:r>
          </w:p>
          <w:p w:rsidR="00945387" w:rsidRDefault="00945387" w:rsidP="00945387">
            <w:pPr>
              <w:autoSpaceDE w:val="0"/>
              <w:autoSpaceDN w:val="0"/>
              <w:spacing w:before="100" w:beforeAutospacing="1" w:after="100" w:afterAutospacing="1" w:line="276" w:lineRule="auto"/>
              <w:rPr>
                <w:rFonts w:ascii="Arial" w:hAnsi="Arial" w:cs="Arial"/>
                <w:color w:val="3B3838"/>
                <w:sz w:val="20"/>
                <w:szCs w:val="20"/>
              </w:rPr>
            </w:pPr>
            <w:r>
              <w:rPr>
                <w:rFonts w:ascii="Arial" w:hAnsi="Arial" w:cs="Arial"/>
                <w:color w:val="3B3838"/>
                <w:sz w:val="20"/>
                <w:szCs w:val="20"/>
              </w:rPr>
              <w:t xml:space="preserve">April Gold – as actively traded contract: is holding above our initial support area of 1318-1322. CNH continues to weaken (China Renminbi strength) is the main key for gold and nearing important levels for currency chatter to disrupt. </w:t>
            </w:r>
          </w:p>
          <w:p w:rsidR="00945387" w:rsidRDefault="00945387" w:rsidP="00945387">
            <w:pPr>
              <w:autoSpaceDE w:val="0"/>
              <w:autoSpaceDN w:val="0"/>
              <w:spacing w:before="100" w:beforeAutospacing="1" w:after="100" w:afterAutospacing="1"/>
              <w:rPr>
                <w:rFonts w:ascii="Calibri Light" w:hAnsi="Calibri Light" w:cs="Calibri Light"/>
                <w:color w:val="000099"/>
                <w:sz w:val="22"/>
                <w:szCs w:val="22"/>
              </w:rPr>
            </w:pPr>
            <w:r>
              <w:rPr>
                <w:noProof/>
              </w:rPr>
              <w:drawing>
                <wp:inline distT="0" distB="0" distL="0" distR="0" wp14:anchorId="310D29DC" wp14:editId="610BBBDB">
                  <wp:extent cx="6257925" cy="2962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57925" cy="2962275"/>
                          </a:xfrm>
                          <a:prstGeom prst="rect">
                            <a:avLst/>
                          </a:prstGeom>
                          <a:noFill/>
                          <a:ln>
                            <a:noFill/>
                          </a:ln>
                        </pic:spPr>
                      </pic:pic>
                    </a:graphicData>
                  </a:graphic>
                </wp:inline>
              </w:drawing>
            </w:r>
          </w:p>
          <w:p w:rsidR="00945387" w:rsidRDefault="00945387" w:rsidP="00945387">
            <w:pPr>
              <w:autoSpaceDE w:val="0"/>
              <w:autoSpaceDN w:val="0"/>
              <w:spacing w:before="100" w:beforeAutospacing="1" w:after="100" w:afterAutospacing="1"/>
              <w:rPr>
                <w:rFonts w:ascii="Calibri Light" w:hAnsi="Calibri Light" w:cs="Calibri Light"/>
                <w:color w:val="000099"/>
                <w:sz w:val="22"/>
                <w:szCs w:val="22"/>
              </w:rPr>
            </w:pPr>
            <w:r>
              <w:rPr>
                <w:noProof/>
              </w:rPr>
              <w:drawing>
                <wp:inline distT="0" distB="0" distL="0" distR="0" wp14:anchorId="1A329FB8" wp14:editId="2326238C">
                  <wp:extent cx="6267450" cy="2952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67450" cy="2952750"/>
                          </a:xfrm>
                          <a:prstGeom prst="rect">
                            <a:avLst/>
                          </a:prstGeom>
                          <a:noFill/>
                          <a:ln>
                            <a:noFill/>
                          </a:ln>
                        </pic:spPr>
                      </pic:pic>
                    </a:graphicData>
                  </a:graphic>
                </wp:inline>
              </w:drawing>
            </w:r>
          </w:p>
          <w:p w:rsidR="00945387" w:rsidRDefault="00945387" w:rsidP="00945387">
            <w:pPr>
              <w:autoSpaceDE w:val="0"/>
              <w:autoSpaceDN w:val="0"/>
              <w:spacing w:before="100" w:beforeAutospacing="1" w:after="100" w:afterAutospacing="1"/>
              <w:rPr>
                <w:rFonts w:ascii="Arial" w:hAnsi="Arial" w:cs="Arial"/>
                <w:sz w:val="20"/>
                <w:szCs w:val="20"/>
              </w:rPr>
            </w:pPr>
            <w:r>
              <w:rPr>
                <w:rFonts w:ascii="Arial" w:hAnsi="Arial" w:cs="Arial"/>
                <w:sz w:val="20"/>
                <w:szCs w:val="20"/>
              </w:rPr>
              <w:t xml:space="preserve">March Silver (as active contract): we have used the cloud as a pivotal  area for a while and holding above the cloud is a positive. A break of 16.425 would likely see downside momentum sparked.  </w:t>
            </w:r>
          </w:p>
          <w:p w:rsidR="00945387" w:rsidRDefault="00945387" w:rsidP="00945387">
            <w:pPr>
              <w:autoSpaceDE w:val="0"/>
              <w:autoSpaceDN w:val="0"/>
              <w:spacing w:before="100" w:beforeAutospacing="1" w:after="100" w:afterAutospacing="1"/>
              <w:rPr>
                <w:rFonts w:ascii="Arial" w:hAnsi="Arial" w:cs="Arial"/>
                <w:sz w:val="20"/>
                <w:szCs w:val="20"/>
              </w:rPr>
            </w:pPr>
            <w:r>
              <w:rPr>
                <w:noProof/>
              </w:rPr>
              <w:drawing>
                <wp:inline distT="0" distB="0" distL="0" distR="0" wp14:anchorId="092E7333" wp14:editId="56062DFD">
                  <wp:extent cx="6248400" cy="2676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48400" cy="2676525"/>
                          </a:xfrm>
                          <a:prstGeom prst="rect">
                            <a:avLst/>
                          </a:prstGeom>
                          <a:noFill/>
                          <a:ln>
                            <a:noFill/>
                          </a:ln>
                        </pic:spPr>
                      </pic:pic>
                    </a:graphicData>
                  </a:graphic>
                </wp:inline>
              </w:drawing>
            </w:r>
          </w:p>
          <w:p w:rsidR="00945387" w:rsidRDefault="00945387" w:rsidP="00945387">
            <w:pPr>
              <w:autoSpaceDE w:val="0"/>
              <w:autoSpaceDN w:val="0"/>
              <w:spacing w:before="100" w:beforeAutospacing="1" w:after="100" w:afterAutospacing="1"/>
              <w:rPr>
                <w:rFonts w:ascii="Arial" w:hAnsi="Arial" w:cs="Arial"/>
                <w:sz w:val="20"/>
                <w:szCs w:val="20"/>
              </w:rPr>
            </w:pPr>
            <w:r>
              <w:rPr>
                <w:rFonts w:ascii="Arial" w:hAnsi="Arial" w:cs="Arial"/>
                <w:b/>
                <w:sz w:val="20"/>
                <w:szCs w:val="20"/>
              </w:rPr>
              <w:t>Gold vs Silver*:</w:t>
            </w:r>
            <w:r>
              <w:rPr>
                <w:rFonts w:ascii="Arial" w:hAnsi="Arial" w:cs="Arial"/>
                <w:sz w:val="20"/>
                <w:szCs w:val="20"/>
              </w:rPr>
              <w:t xml:space="preserve"> normally we would look for silver to be the lead in direction. The .786 retrace has been very pivotal resistance and negative for both gold and silver above the .786. </w:t>
            </w:r>
          </w:p>
          <w:p w:rsidR="00945387" w:rsidRDefault="00945387" w:rsidP="00945387">
            <w:pPr>
              <w:autoSpaceDE w:val="0"/>
              <w:autoSpaceDN w:val="0"/>
              <w:spacing w:before="100" w:beforeAutospacing="1" w:after="100" w:afterAutospacing="1"/>
              <w:rPr>
                <w:rFonts w:ascii="Arial" w:hAnsi="Arial" w:cs="Arial"/>
                <w:sz w:val="20"/>
                <w:szCs w:val="20"/>
              </w:rPr>
            </w:pPr>
            <w:r>
              <w:rPr>
                <w:noProof/>
              </w:rPr>
              <w:drawing>
                <wp:inline distT="0" distB="0" distL="0" distR="0" wp14:anchorId="461F212B" wp14:editId="33485BCB">
                  <wp:extent cx="6248400" cy="30003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48400" cy="3000375"/>
                          </a:xfrm>
                          <a:prstGeom prst="rect">
                            <a:avLst/>
                          </a:prstGeom>
                          <a:noFill/>
                          <a:ln>
                            <a:noFill/>
                          </a:ln>
                        </pic:spPr>
                      </pic:pic>
                    </a:graphicData>
                  </a:graphic>
                </wp:inline>
              </w:drawing>
            </w:r>
          </w:p>
          <w:p w:rsidR="00945387" w:rsidRDefault="00945387" w:rsidP="00945387">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March Copper: has been choppy and short term momentum starting to roll over. A break of the little trend line would likely see it slip </w:t>
            </w:r>
          </w:p>
          <w:p w:rsidR="00945387" w:rsidRDefault="00945387" w:rsidP="00945387">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79F6472B" wp14:editId="7815474F">
                  <wp:extent cx="6267450"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67450" cy="2990850"/>
                          </a:xfrm>
                          <a:prstGeom prst="rect">
                            <a:avLst/>
                          </a:prstGeom>
                          <a:noFill/>
                          <a:ln>
                            <a:noFill/>
                          </a:ln>
                        </pic:spPr>
                      </pic:pic>
                    </a:graphicData>
                  </a:graphic>
                </wp:inline>
              </w:drawing>
            </w:r>
          </w:p>
          <w:p w:rsidR="00E13134" w:rsidRDefault="00E13134" w:rsidP="00E13134">
            <w:pPr>
              <w:autoSpaceDE w:val="0"/>
              <w:autoSpaceDN w:val="0"/>
              <w:spacing w:before="100" w:beforeAutospacing="1" w:after="100" w:afterAutospacing="1"/>
              <w:rPr>
                <w:rFonts w:ascii="Arial" w:hAnsi="Arial" w:cs="Arial"/>
                <w:color w:val="3B3838"/>
                <w:sz w:val="20"/>
                <w:szCs w:val="20"/>
              </w:rPr>
            </w:pPr>
            <w:r>
              <w:rPr>
                <w:rFonts w:ascii="Arial" w:hAnsi="Arial" w:cs="Arial"/>
                <w:b/>
                <w:bCs/>
                <w:color w:val="3B3838"/>
              </w:rPr>
              <w:t>CURRENCIES: </w:t>
            </w:r>
            <w:r>
              <w:rPr>
                <w:rFonts w:ascii="Arial" w:hAnsi="Arial" w:cs="Arial"/>
                <w:color w:val="3B3838"/>
                <w:sz w:val="20"/>
                <w:szCs w:val="20"/>
              </w:rPr>
              <w:t xml:space="preserve">    </w:t>
            </w:r>
          </w:p>
          <w:p w:rsidR="00E13134" w:rsidRDefault="00E13134" w:rsidP="00E13134">
            <w:pPr>
              <w:autoSpaceDE w:val="0"/>
              <w:autoSpaceDN w:val="0"/>
              <w:spacing w:before="100" w:beforeAutospacing="1" w:after="100" w:afterAutospacing="1"/>
              <w:rPr>
                <w:rFonts w:ascii="Arial" w:hAnsi="Arial" w:cs="Arial"/>
                <w:bCs/>
                <w:color w:val="3B3838"/>
                <w:sz w:val="20"/>
                <w:szCs w:val="20"/>
              </w:rPr>
            </w:pPr>
            <w:r>
              <w:rPr>
                <w:rFonts w:ascii="Arial" w:hAnsi="Arial" w:cs="Arial"/>
                <w:bCs/>
                <w:color w:val="3B3838"/>
                <w:sz w:val="20"/>
                <w:szCs w:val="20"/>
              </w:rPr>
              <w:t>US$ Index is holding support at its 200 month moving average and 50% retrace from the 2011 low. Starting to see some lift and we will look for a test of 90.740 and use this level as initial pivot pt resistance</w:t>
            </w:r>
          </w:p>
          <w:p w:rsidR="00E13134" w:rsidRDefault="00E13134" w:rsidP="00E13134">
            <w:pPr>
              <w:autoSpaceDE w:val="0"/>
              <w:autoSpaceDN w:val="0"/>
              <w:spacing w:before="100" w:beforeAutospacing="1" w:after="100" w:afterAutospacing="1"/>
              <w:rPr>
                <w:rFonts w:ascii="Arial" w:hAnsi="Arial" w:cs="Arial"/>
                <w:bCs/>
                <w:color w:val="3B3838"/>
                <w:sz w:val="20"/>
                <w:szCs w:val="20"/>
              </w:rPr>
            </w:pPr>
            <w:r>
              <w:rPr>
                <w:noProof/>
              </w:rPr>
              <w:drawing>
                <wp:inline distT="0" distB="0" distL="0" distR="0" wp14:anchorId="635DAA4B" wp14:editId="1B5ADE2F">
                  <wp:extent cx="6267450" cy="2838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67450" cy="2838450"/>
                          </a:xfrm>
                          <a:prstGeom prst="rect">
                            <a:avLst/>
                          </a:prstGeom>
                          <a:noFill/>
                          <a:ln>
                            <a:noFill/>
                          </a:ln>
                        </pic:spPr>
                      </pic:pic>
                    </a:graphicData>
                  </a:graphic>
                </wp:inline>
              </w:drawing>
            </w:r>
          </w:p>
          <w:p w:rsidR="00E13134" w:rsidRDefault="00E13134" w:rsidP="00E13134">
            <w:pPr>
              <w:autoSpaceDE w:val="0"/>
              <w:autoSpaceDN w:val="0"/>
              <w:spacing w:before="100" w:beforeAutospacing="1" w:after="100" w:afterAutospacing="1"/>
              <w:rPr>
                <w:rFonts w:ascii="Arial" w:hAnsi="Arial" w:cs="Arial"/>
                <w:bCs/>
                <w:color w:val="3B3838"/>
                <w:sz w:val="20"/>
                <w:szCs w:val="20"/>
              </w:rPr>
            </w:pPr>
            <w:r>
              <w:rPr>
                <w:rFonts w:ascii="Arial" w:hAnsi="Arial" w:cs="Arial"/>
                <w:bCs/>
                <w:color w:val="3B3838"/>
                <w:sz w:val="20"/>
                <w:szCs w:val="20"/>
              </w:rPr>
              <w:t xml:space="preserve">CNH lower again today and nearing pivotal levels. China must have concerns about the currency strength and we are awaiting rhetoric from them… </w:t>
            </w:r>
          </w:p>
          <w:p w:rsidR="00E13134" w:rsidRDefault="00E13134" w:rsidP="00E13134">
            <w:pPr>
              <w:autoSpaceDE w:val="0"/>
              <w:autoSpaceDN w:val="0"/>
              <w:spacing w:before="100" w:beforeAutospacing="1" w:after="100" w:afterAutospacing="1"/>
              <w:rPr>
                <w:rFonts w:ascii="Arial" w:hAnsi="Arial" w:cs="Arial"/>
                <w:bCs/>
                <w:color w:val="3B3838"/>
                <w:sz w:val="20"/>
                <w:szCs w:val="20"/>
              </w:rPr>
            </w:pPr>
            <w:r>
              <w:rPr>
                <w:noProof/>
              </w:rPr>
              <w:drawing>
                <wp:inline distT="0" distB="0" distL="0" distR="0" wp14:anchorId="080A69E0" wp14:editId="128C5DB7">
                  <wp:extent cx="6248400" cy="2962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48400" cy="2962275"/>
                          </a:xfrm>
                          <a:prstGeom prst="rect">
                            <a:avLst/>
                          </a:prstGeom>
                          <a:noFill/>
                          <a:ln>
                            <a:noFill/>
                          </a:ln>
                        </pic:spPr>
                      </pic:pic>
                    </a:graphicData>
                  </a:graphic>
                </wp:inline>
              </w:drawing>
            </w:r>
          </w:p>
          <w:p w:rsidR="00E13134" w:rsidRDefault="00E13134" w:rsidP="00E13134">
            <w:pPr>
              <w:autoSpaceDE w:val="0"/>
              <w:autoSpaceDN w:val="0"/>
              <w:spacing w:before="100" w:beforeAutospacing="1" w:after="100" w:afterAutospacing="1"/>
              <w:rPr>
                <w:rFonts w:ascii="Arial" w:hAnsi="Arial" w:cs="Arial"/>
                <w:bCs/>
                <w:color w:val="3B3838"/>
                <w:sz w:val="20"/>
                <w:szCs w:val="20"/>
              </w:rPr>
            </w:pPr>
            <w:r>
              <w:rPr>
                <w:rFonts w:ascii="Arial" w:hAnsi="Arial" w:cs="Arial"/>
                <w:bCs/>
                <w:color w:val="3B3838"/>
                <w:sz w:val="20"/>
                <w:szCs w:val="20"/>
              </w:rPr>
              <w:t>March Yen held the vwap of the year initial support area again yesterday, holding a positive short term tone</w:t>
            </w:r>
          </w:p>
          <w:p w:rsidR="00E13134" w:rsidRDefault="00E13134" w:rsidP="00E13134">
            <w:pPr>
              <w:autoSpaceDE w:val="0"/>
              <w:autoSpaceDN w:val="0"/>
              <w:spacing w:before="100" w:beforeAutospacing="1" w:after="100" w:afterAutospacing="1"/>
              <w:rPr>
                <w:rFonts w:ascii="Arial" w:hAnsi="Arial" w:cs="Arial"/>
                <w:bCs/>
                <w:color w:val="3B3838"/>
                <w:sz w:val="20"/>
                <w:szCs w:val="20"/>
              </w:rPr>
            </w:pPr>
            <w:r>
              <w:rPr>
                <w:noProof/>
              </w:rPr>
              <w:drawing>
                <wp:inline distT="0" distB="0" distL="0" distR="0" wp14:anchorId="2DF3F6D2" wp14:editId="035098C1">
                  <wp:extent cx="6267450" cy="2952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67450" cy="2952750"/>
                          </a:xfrm>
                          <a:prstGeom prst="rect">
                            <a:avLst/>
                          </a:prstGeom>
                          <a:noFill/>
                          <a:ln>
                            <a:noFill/>
                          </a:ln>
                        </pic:spPr>
                      </pic:pic>
                    </a:graphicData>
                  </a:graphic>
                </wp:inline>
              </w:drawing>
            </w:r>
          </w:p>
          <w:p w:rsidR="00E13134" w:rsidRDefault="00E13134" w:rsidP="00E13134">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March EURUSD will likely see some downside momentum with a break of the .382 retracement</w:t>
            </w:r>
          </w:p>
          <w:p w:rsidR="00E13134" w:rsidRDefault="00E13134" w:rsidP="00E13134">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4600DC02" wp14:editId="2A0525E7">
                  <wp:extent cx="6267450" cy="2952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67450" cy="2952750"/>
                          </a:xfrm>
                          <a:prstGeom prst="rect">
                            <a:avLst/>
                          </a:prstGeom>
                          <a:noFill/>
                          <a:ln>
                            <a:noFill/>
                          </a:ln>
                        </pic:spPr>
                      </pic:pic>
                    </a:graphicData>
                  </a:graphic>
                </wp:inline>
              </w:drawing>
            </w:r>
          </w:p>
          <w:p w:rsidR="00E13134" w:rsidRDefault="00E13134" w:rsidP="00E13134">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USDCAD held key support, and we are now looking for the 50dma to be short term pivotal pt. A clean break above the 50 day would likely see the 200 be tested with further momentum above it</w:t>
            </w:r>
          </w:p>
          <w:p w:rsidR="00E13134" w:rsidRDefault="00E13134" w:rsidP="00E13134">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228BCBFD" wp14:editId="681D5DCF">
                  <wp:extent cx="6267450" cy="2628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67450" cy="2628900"/>
                          </a:xfrm>
                          <a:prstGeom prst="rect">
                            <a:avLst/>
                          </a:prstGeom>
                          <a:noFill/>
                          <a:ln>
                            <a:noFill/>
                          </a:ln>
                        </pic:spPr>
                      </pic:pic>
                    </a:graphicData>
                  </a:graphic>
                </wp:inline>
              </w:drawing>
            </w:r>
          </w:p>
          <w:p w:rsidR="00825E05" w:rsidRDefault="00825E05" w:rsidP="008F1D0B">
            <w:pPr>
              <w:autoSpaceDE w:val="0"/>
              <w:autoSpaceDN w:val="0"/>
              <w:spacing w:before="100" w:beforeAutospacing="1" w:after="100" w:afterAutospacing="1"/>
              <w:rPr>
                <w:rFonts w:ascii="Arial" w:hAnsi="Arial" w:cs="Arial"/>
                <w:color w:val="3B3838"/>
                <w:sz w:val="20"/>
                <w:szCs w:val="20"/>
              </w:rPr>
            </w:pPr>
          </w:p>
          <w:p w:rsidR="008F1D0B" w:rsidRDefault="008F1D0B" w:rsidP="008F1D0B">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Charted using CQG </w:t>
            </w:r>
          </w:p>
          <w:p w:rsidR="00D71610" w:rsidRPr="008F1D0B" w:rsidRDefault="008F1D0B" w:rsidP="008F1D0B">
            <w:pPr>
              <w:autoSpaceDE w:val="0"/>
              <w:autoSpaceDN w:val="0"/>
              <w:spacing w:before="100" w:beforeAutospacing="1" w:after="100" w:afterAutospacing="1"/>
              <w:rPr>
                <w:rFonts w:ascii="Calibri" w:hAnsi="Calibri" w:cs="Calibri"/>
                <w:sz w:val="22"/>
                <w:szCs w:val="22"/>
              </w:rPr>
            </w:pPr>
            <w:r>
              <w:rPr>
                <w:rFonts w:ascii="Calibri" w:hAnsi="Calibri" w:cs="Calibri"/>
                <w:noProof/>
                <w:sz w:val="22"/>
                <w:szCs w:val="22"/>
              </w:rPr>
              <w:drawing>
                <wp:inline distT="0" distB="0" distL="0" distR="0" wp14:anchorId="49A4B12E" wp14:editId="4E2E0987">
                  <wp:extent cx="971550" cy="219075"/>
                  <wp:effectExtent l="0" t="0" r="0" b="9525"/>
                  <wp:docPr id="1" name="Picture 1" descr="cid:image042.png@01D3635C.FF6E0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42.png@01D3635C.FF6E0DE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71550" cy="219075"/>
                          </a:xfrm>
                          <a:prstGeom prst="rect">
                            <a:avLst/>
                          </a:prstGeom>
                          <a:noFill/>
                          <a:ln>
                            <a:noFill/>
                          </a:ln>
                        </pic:spPr>
                      </pic:pic>
                    </a:graphicData>
                  </a:graphic>
                </wp:inline>
              </w:drawing>
            </w:r>
            <w:r>
              <w:rPr>
                <w:rFonts w:ascii="Calibri" w:hAnsi="Calibri" w:cs="Calibri"/>
                <w:sz w:val="22"/>
                <w:szCs w:val="22"/>
              </w:rPr>
              <w:t xml:space="preserve">  </w:t>
            </w:r>
            <w:hyperlink r:id="rId44" w:history="1">
              <w:r>
                <w:rPr>
                  <w:rStyle w:val="Hyperlink"/>
                  <w:rFonts w:ascii="Calibri" w:hAnsi="Calibri" w:cs="Calibri"/>
                  <w:sz w:val="22"/>
                  <w:szCs w:val="22"/>
                </w:rPr>
                <w:t>www.cqg.com</w:t>
              </w:r>
            </w:hyperlink>
            <w:r>
              <w:rPr>
                <w:rFonts w:ascii="Calibri" w:hAnsi="Calibri" w:cs="Calibri"/>
                <w:sz w:val="22"/>
                <w:szCs w:val="22"/>
              </w:rPr>
              <w:t xml:space="preserve"> </w:t>
            </w:r>
          </w:p>
          <w:p w:rsidR="00044155" w:rsidRDefault="00CB57EF" w:rsidP="00044155">
            <w:pPr>
              <w:rPr>
                <w:rFonts w:ascii="Arial" w:hAnsi="Arial" w:cs="Arial"/>
                <w:b/>
                <w:bCs/>
                <w:sz w:val="22"/>
                <w:szCs w:val="22"/>
              </w:rPr>
            </w:pPr>
            <w:r>
              <w:rPr>
                <w:rFonts w:ascii="Arial" w:hAnsi="Arial" w:cs="Arial"/>
                <w:b/>
                <w:bCs/>
                <w:sz w:val="22"/>
                <w:szCs w:val="22"/>
              </w:rPr>
              <w:t> </w:t>
            </w:r>
            <w:r w:rsidR="00044155">
              <w:rPr>
                <w:rFonts w:ascii="Arial" w:hAnsi="Arial" w:cs="Arial"/>
                <w:b/>
                <w:bCs/>
                <w:sz w:val="22"/>
                <w:szCs w:val="22"/>
              </w:rPr>
              <w:t>                         </w:t>
            </w:r>
            <w:r>
              <w:rPr>
                <w:rFonts w:ascii="Arial" w:hAnsi="Arial" w:cs="Arial"/>
                <w:b/>
                <w:bCs/>
                <w:sz w:val="22"/>
                <w:szCs w:val="22"/>
              </w:rPr>
              <w:t xml:space="preserve"> </w:t>
            </w:r>
            <w:r w:rsidR="00044155">
              <w:rPr>
                <w:rFonts w:ascii="Arial" w:hAnsi="Arial" w:cs="Arial"/>
                <w:b/>
                <w:bCs/>
                <w:sz w:val="22"/>
                <w:szCs w:val="22"/>
              </w:rPr>
              <w:t xml:space="preserve">       </w:t>
            </w:r>
            <w:r w:rsidR="00044155">
              <w:rPr>
                <w:rFonts w:ascii="Arial" w:hAnsi="Arial" w:cs="Arial"/>
                <w:sz w:val="22"/>
                <w:szCs w:val="22"/>
              </w:rPr>
              <w:t>                                                                </w:t>
            </w:r>
            <w:r w:rsidR="00044155">
              <w:rPr>
                <w:rFonts w:ascii="Calibri" w:hAnsi="Calibri" w:cs="Calibri"/>
                <w:sz w:val="22"/>
                <w:szCs w:val="22"/>
              </w:rPr>
              <w:t>                      </w:t>
            </w:r>
          </w:p>
          <w:p w:rsidR="004D29EF" w:rsidRDefault="004D29EF" w:rsidP="004D29EF">
            <w:pPr>
              <w:autoSpaceDE w:val="0"/>
              <w:autoSpaceDN w:val="0"/>
              <w:spacing w:before="100" w:beforeAutospacing="1" w:after="100" w:afterAutospacing="1"/>
            </w:pPr>
            <w:r>
              <w:rPr>
                <w:noProof/>
              </w:rPr>
              <mc:AlternateContent>
                <mc:Choice Requires="wps">
                  <w:drawing>
                    <wp:anchor distT="0" distB="0" distL="114300" distR="114300" simplePos="0" relativeHeight="251659264" behindDoc="0" locked="0" layoutInCell="1" allowOverlap="1" wp14:anchorId="57305563" wp14:editId="74488C88">
                      <wp:simplePos x="0" y="0"/>
                      <wp:positionH relativeFrom="column">
                        <wp:posOffset>57150</wp:posOffset>
                      </wp:positionH>
                      <wp:positionV relativeFrom="paragraph">
                        <wp:posOffset>123825</wp:posOffset>
                      </wp:positionV>
                      <wp:extent cx="6419850" cy="9525"/>
                      <wp:effectExtent l="0" t="0" r="19050" b="28575"/>
                      <wp:wrapNone/>
                      <wp:docPr id="92" name="Straight Connector 92"/>
                      <wp:cNvGraphicFramePr/>
                      <a:graphic xmlns:a="http://schemas.openxmlformats.org/drawingml/2006/main">
                        <a:graphicData uri="http://schemas.microsoft.com/office/word/2010/wordprocessingShape">
                          <wps:wsp>
                            <wps:cNvCnPr/>
                            <wps:spPr>
                              <a:xfrm>
                                <a:off x="0" y="0"/>
                                <a:ext cx="6419850" cy="9525"/>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75pt" to="51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" strokecolor="#44546a [3215]" strokeweight="1pt">
                      <v:stroke joinstyle="miter"/>
                    </v:line>
                  </w:pict>
                </mc:Fallback>
              </mc:AlternateContent>
            </w:r>
          </w:p>
          <w:p w:rsidR="004D29EF" w:rsidRDefault="004D29EF" w:rsidP="004D29EF">
            <w:pPr>
              <w:rPr>
                <w:rFonts w:ascii="Tw Cen MT" w:hAnsi="Tw Cen MT"/>
              </w:rPr>
            </w:pPr>
            <w:r>
              <w:rPr>
                <w:rFonts w:ascii="Calibri" w:hAnsi="Calibri" w:cs="Calibri"/>
                <w:color w:val="333333"/>
                <w:sz w:val="20"/>
                <w:szCs w:val="20"/>
                <w:u w:val="single"/>
              </w:rPr>
              <w:t xml:space="preserve">DISCLAIMER:  For Educational purposes only.  </w:t>
            </w:r>
            <w:r>
              <w:rPr>
                <w:rFonts w:ascii="Tw Cen MT" w:hAnsi="Tw Cen MT"/>
                <w:color w:val="333333"/>
                <w:sz w:val="20"/>
                <w:szCs w:val="20"/>
                <w:u w:val="single"/>
              </w:rPr>
              <w:t>This is not a solicitation to buy or sell commodity futures or options on commodity futures and should not be construed as such.  The risk of trading securities, futures and options can be substantial and is not for everyone.  Such investments may not be appropriate for the recipient.  The valuation of futures and options may fluctuate, and, as a result, clients may lose more than their original investment.  Nothing contained in this message may be construed as an express or an implied promise, guarantee or implication by, of, or from Keystone Charts, Inc. that you will profit or that losses can or will be limited in any manner whatsoever.  Past performance is not necessarily indicative of future results.  Although care has been taken to assure the accuracy, completeness and reliability of the information contained herein, Keystone Charts, Inc. makes no warranty, express or implied, or assumes any legal liability or responsibility for the accuracy, completeness, reliability or usefulness of any information, product, service or process disclosed.  PROPERTY OF KEYSTONE CHARTS, INC.  DO NOT COPY OR FORWARD INTELLECTUAL PROPERTY WITHOUT PRIOR WRITTEN CONSENT.</w:t>
            </w:r>
          </w:p>
          <w:p w:rsidR="00554C90" w:rsidRDefault="00554C90">
            <w:pPr>
              <w:autoSpaceDE w:val="0"/>
              <w:autoSpaceDN w:val="0"/>
              <w:spacing w:before="100" w:beforeAutospacing="1" w:after="100" w:afterAutospacing="1"/>
              <w:rPr>
                <w:rFonts w:ascii="Calibri" w:hAnsi="Calibri" w:cs="Calibri"/>
                <w:sz w:val="22"/>
                <w:szCs w:val="22"/>
              </w:rPr>
            </w:pPr>
          </w:p>
        </w:tc>
      </w:tr>
    </w:tbl>
    <w:p w:rsidR="009F578E" w:rsidRDefault="009F578E"/>
    <w:sectPr w:rsidR="009F578E" w:rsidSect="006D3FDC">
      <w:type w:val="continuous"/>
      <w:pgSz w:w="12240" w:h="15840" w:code="1"/>
      <w:pgMar w:top="720" w:right="274" w:bottom="0" w:left="274" w:header="720" w:footer="720" w:gutter="0"/>
      <w:paperSrc w:first="4" w:other="4"/>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hideGrammaticalError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90"/>
    <w:rsid w:val="00044155"/>
    <w:rsid w:val="00070134"/>
    <w:rsid w:val="00112B29"/>
    <w:rsid w:val="001730E7"/>
    <w:rsid w:val="00267D9A"/>
    <w:rsid w:val="004A3404"/>
    <w:rsid w:val="004D29EF"/>
    <w:rsid w:val="004E2EDD"/>
    <w:rsid w:val="005177EE"/>
    <w:rsid w:val="00535133"/>
    <w:rsid w:val="0055120F"/>
    <w:rsid w:val="00554C90"/>
    <w:rsid w:val="006D3FDC"/>
    <w:rsid w:val="00772B5D"/>
    <w:rsid w:val="00825E05"/>
    <w:rsid w:val="00874830"/>
    <w:rsid w:val="008902A8"/>
    <w:rsid w:val="008F1D0B"/>
    <w:rsid w:val="00945387"/>
    <w:rsid w:val="009F578E"/>
    <w:rsid w:val="00A71790"/>
    <w:rsid w:val="00A75EBB"/>
    <w:rsid w:val="00AC228C"/>
    <w:rsid w:val="00AC7C43"/>
    <w:rsid w:val="00C01E19"/>
    <w:rsid w:val="00C353B5"/>
    <w:rsid w:val="00C805C6"/>
    <w:rsid w:val="00CB57EF"/>
    <w:rsid w:val="00CD2E92"/>
    <w:rsid w:val="00CF6832"/>
    <w:rsid w:val="00D674E7"/>
    <w:rsid w:val="00D71610"/>
    <w:rsid w:val="00D95121"/>
    <w:rsid w:val="00DF2268"/>
    <w:rsid w:val="00E13134"/>
    <w:rsid w:val="00E55EE7"/>
    <w:rsid w:val="00E713A2"/>
    <w:rsid w:val="00E822B2"/>
    <w:rsid w:val="00EE1637"/>
    <w:rsid w:val="00F11901"/>
    <w:rsid w:val="00F4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C90"/>
    <w:rPr>
      <w:rFonts w:ascii="Tahoma" w:hAnsi="Tahoma" w:cs="Tahoma"/>
      <w:sz w:val="16"/>
      <w:szCs w:val="16"/>
    </w:rPr>
  </w:style>
  <w:style w:type="character" w:customStyle="1" w:styleId="BalloonTextChar">
    <w:name w:val="Balloon Text Char"/>
    <w:basedOn w:val="DefaultParagraphFont"/>
    <w:link w:val="BalloonText"/>
    <w:uiPriority w:val="99"/>
    <w:semiHidden/>
    <w:rsid w:val="00554C90"/>
    <w:rPr>
      <w:rFonts w:ascii="Tahoma" w:hAnsi="Tahoma" w:cs="Tahoma"/>
      <w:sz w:val="16"/>
      <w:szCs w:val="16"/>
    </w:rPr>
  </w:style>
  <w:style w:type="character" w:styleId="Hyperlink">
    <w:name w:val="Hyperlink"/>
    <w:basedOn w:val="DefaultParagraphFont"/>
    <w:uiPriority w:val="99"/>
    <w:semiHidden/>
    <w:unhideWhenUsed/>
    <w:rsid w:val="008F1D0B"/>
    <w:rPr>
      <w:color w:val="0000FF"/>
      <w:u w:val="single"/>
    </w:rPr>
  </w:style>
  <w:style w:type="table" w:styleId="TableGrid">
    <w:name w:val="Table Grid"/>
    <w:basedOn w:val="TableNormal"/>
    <w:uiPriority w:val="39"/>
    <w:rsid w:val="00CF683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C90"/>
    <w:rPr>
      <w:rFonts w:ascii="Tahoma" w:hAnsi="Tahoma" w:cs="Tahoma"/>
      <w:sz w:val="16"/>
      <w:szCs w:val="16"/>
    </w:rPr>
  </w:style>
  <w:style w:type="character" w:customStyle="1" w:styleId="BalloonTextChar">
    <w:name w:val="Balloon Text Char"/>
    <w:basedOn w:val="DefaultParagraphFont"/>
    <w:link w:val="BalloonText"/>
    <w:uiPriority w:val="99"/>
    <w:semiHidden/>
    <w:rsid w:val="00554C90"/>
    <w:rPr>
      <w:rFonts w:ascii="Tahoma" w:hAnsi="Tahoma" w:cs="Tahoma"/>
      <w:sz w:val="16"/>
      <w:szCs w:val="16"/>
    </w:rPr>
  </w:style>
  <w:style w:type="character" w:styleId="Hyperlink">
    <w:name w:val="Hyperlink"/>
    <w:basedOn w:val="DefaultParagraphFont"/>
    <w:uiPriority w:val="99"/>
    <w:semiHidden/>
    <w:unhideWhenUsed/>
    <w:rsid w:val="008F1D0B"/>
    <w:rPr>
      <w:color w:val="0000FF"/>
      <w:u w:val="single"/>
    </w:rPr>
  </w:style>
  <w:style w:type="table" w:styleId="TableGrid">
    <w:name w:val="Table Grid"/>
    <w:basedOn w:val="TableNormal"/>
    <w:uiPriority w:val="39"/>
    <w:rsid w:val="00CF683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848">
      <w:bodyDiv w:val="1"/>
      <w:marLeft w:val="0"/>
      <w:marRight w:val="0"/>
      <w:marTop w:val="0"/>
      <w:marBottom w:val="0"/>
      <w:divBdr>
        <w:top w:val="none" w:sz="0" w:space="0" w:color="auto"/>
        <w:left w:val="none" w:sz="0" w:space="0" w:color="auto"/>
        <w:bottom w:val="none" w:sz="0" w:space="0" w:color="auto"/>
        <w:right w:val="none" w:sz="0" w:space="0" w:color="auto"/>
      </w:divBdr>
    </w:div>
    <w:div w:id="85856231">
      <w:bodyDiv w:val="1"/>
      <w:marLeft w:val="0"/>
      <w:marRight w:val="0"/>
      <w:marTop w:val="0"/>
      <w:marBottom w:val="0"/>
      <w:divBdr>
        <w:top w:val="none" w:sz="0" w:space="0" w:color="auto"/>
        <w:left w:val="none" w:sz="0" w:space="0" w:color="auto"/>
        <w:bottom w:val="none" w:sz="0" w:space="0" w:color="auto"/>
        <w:right w:val="none" w:sz="0" w:space="0" w:color="auto"/>
      </w:divBdr>
    </w:div>
    <w:div w:id="255024445">
      <w:bodyDiv w:val="1"/>
      <w:marLeft w:val="0"/>
      <w:marRight w:val="0"/>
      <w:marTop w:val="0"/>
      <w:marBottom w:val="0"/>
      <w:divBdr>
        <w:top w:val="none" w:sz="0" w:space="0" w:color="auto"/>
        <w:left w:val="none" w:sz="0" w:space="0" w:color="auto"/>
        <w:bottom w:val="none" w:sz="0" w:space="0" w:color="auto"/>
        <w:right w:val="none" w:sz="0" w:space="0" w:color="auto"/>
      </w:divBdr>
    </w:div>
    <w:div w:id="263659516">
      <w:bodyDiv w:val="1"/>
      <w:marLeft w:val="0"/>
      <w:marRight w:val="0"/>
      <w:marTop w:val="0"/>
      <w:marBottom w:val="0"/>
      <w:divBdr>
        <w:top w:val="none" w:sz="0" w:space="0" w:color="auto"/>
        <w:left w:val="none" w:sz="0" w:space="0" w:color="auto"/>
        <w:bottom w:val="none" w:sz="0" w:space="0" w:color="auto"/>
        <w:right w:val="none" w:sz="0" w:space="0" w:color="auto"/>
      </w:divBdr>
    </w:div>
    <w:div w:id="287319209">
      <w:bodyDiv w:val="1"/>
      <w:marLeft w:val="0"/>
      <w:marRight w:val="0"/>
      <w:marTop w:val="0"/>
      <w:marBottom w:val="0"/>
      <w:divBdr>
        <w:top w:val="none" w:sz="0" w:space="0" w:color="auto"/>
        <w:left w:val="none" w:sz="0" w:space="0" w:color="auto"/>
        <w:bottom w:val="none" w:sz="0" w:space="0" w:color="auto"/>
        <w:right w:val="none" w:sz="0" w:space="0" w:color="auto"/>
      </w:divBdr>
    </w:div>
    <w:div w:id="386222708">
      <w:bodyDiv w:val="1"/>
      <w:marLeft w:val="0"/>
      <w:marRight w:val="0"/>
      <w:marTop w:val="0"/>
      <w:marBottom w:val="0"/>
      <w:divBdr>
        <w:top w:val="none" w:sz="0" w:space="0" w:color="auto"/>
        <w:left w:val="none" w:sz="0" w:space="0" w:color="auto"/>
        <w:bottom w:val="none" w:sz="0" w:space="0" w:color="auto"/>
        <w:right w:val="none" w:sz="0" w:space="0" w:color="auto"/>
      </w:divBdr>
    </w:div>
    <w:div w:id="716899921">
      <w:bodyDiv w:val="1"/>
      <w:marLeft w:val="0"/>
      <w:marRight w:val="0"/>
      <w:marTop w:val="0"/>
      <w:marBottom w:val="0"/>
      <w:divBdr>
        <w:top w:val="none" w:sz="0" w:space="0" w:color="auto"/>
        <w:left w:val="none" w:sz="0" w:space="0" w:color="auto"/>
        <w:bottom w:val="none" w:sz="0" w:space="0" w:color="auto"/>
        <w:right w:val="none" w:sz="0" w:space="0" w:color="auto"/>
      </w:divBdr>
    </w:div>
    <w:div w:id="723991437">
      <w:bodyDiv w:val="1"/>
      <w:marLeft w:val="0"/>
      <w:marRight w:val="0"/>
      <w:marTop w:val="0"/>
      <w:marBottom w:val="0"/>
      <w:divBdr>
        <w:top w:val="none" w:sz="0" w:space="0" w:color="auto"/>
        <w:left w:val="none" w:sz="0" w:space="0" w:color="auto"/>
        <w:bottom w:val="none" w:sz="0" w:space="0" w:color="auto"/>
        <w:right w:val="none" w:sz="0" w:space="0" w:color="auto"/>
      </w:divBdr>
    </w:div>
    <w:div w:id="733629327">
      <w:bodyDiv w:val="1"/>
      <w:marLeft w:val="0"/>
      <w:marRight w:val="0"/>
      <w:marTop w:val="0"/>
      <w:marBottom w:val="0"/>
      <w:divBdr>
        <w:top w:val="none" w:sz="0" w:space="0" w:color="auto"/>
        <w:left w:val="none" w:sz="0" w:space="0" w:color="auto"/>
        <w:bottom w:val="none" w:sz="0" w:space="0" w:color="auto"/>
        <w:right w:val="none" w:sz="0" w:space="0" w:color="auto"/>
      </w:divBdr>
    </w:div>
    <w:div w:id="767428403">
      <w:bodyDiv w:val="1"/>
      <w:marLeft w:val="0"/>
      <w:marRight w:val="0"/>
      <w:marTop w:val="0"/>
      <w:marBottom w:val="0"/>
      <w:divBdr>
        <w:top w:val="none" w:sz="0" w:space="0" w:color="auto"/>
        <w:left w:val="none" w:sz="0" w:space="0" w:color="auto"/>
        <w:bottom w:val="none" w:sz="0" w:space="0" w:color="auto"/>
        <w:right w:val="none" w:sz="0" w:space="0" w:color="auto"/>
      </w:divBdr>
    </w:div>
    <w:div w:id="835269835">
      <w:bodyDiv w:val="1"/>
      <w:marLeft w:val="0"/>
      <w:marRight w:val="0"/>
      <w:marTop w:val="0"/>
      <w:marBottom w:val="0"/>
      <w:divBdr>
        <w:top w:val="none" w:sz="0" w:space="0" w:color="auto"/>
        <w:left w:val="none" w:sz="0" w:space="0" w:color="auto"/>
        <w:bottom w:val="none" w:sz="0" w:space="0" w:color="auto"/>
        <w:right w:val="none" w:sz="0" w:space="0" w:color="auto"/>
      </w:divBdr>
    </w:div>
    <w:div w:id="848182011">
      <w:bodyDiv w:val="1"/>
      <w:marLeft w:val="0"/>
      <w:marRight w:val="0"/>
      <w:marTop w:val="0"/>
      <w:marBottom w:val="0"/>
      <w:divBdr>
        <w:top w:val="none" w:sz="0" w:space="0" w:color="auto"/>
        <w:left w:val="none" w:sz="0" w:space="0" w:color="auto"/>
        <w:bottom w:val="none" w:sz="0" w:space="0" w:color="auto"/>
        <w:right w:val="none" w:sz="0" w:space="0" w:color="auto"/>
      </w:divBdr>
    </w:div>
    <w:div w:id="942960525">
      <w:bodyDiv w:val="1"/>
      <w:marLeft w:val="0"/>
      <w:marRight w:val="0"/>
      <w:marTop w:val="0"/>
      <w:marBottom w:val="0"/>
      <w:divBdr>
        <w:top w:val="none" w:sz="0" w:space="0" w:color="auto"/>
        <w:left w:val="none" w:sz="0" w:space="0" w:color="auto"/>
        <w:bottom w:val="none" w:sz="0" w:space="0" w:color="auto"/>
        <w:right w:val="none" w:sz="0" w:space="0" w:color="auto"/>
      </w:divBdr>
    </w:div>
    <w:div w:id="953169759">
      <w:bodyDiv w:val="1"/>
      <w:marLeft w:val="0"/>
      <w:marRight w:val="0"/>
      <w:marTop w:val="0"/>
      <w:marBottom w:val="0"/>
      <w:divBdr>
        <w:top w:val="none" w:sz="0" w:space="0" w:color="auto"/>
        <w:left w:val="none" w:sz="0" w:space="0" w:color="auto"/>
        <w:bottom w:val="none" w:sz="0" w:space="0" w:color="auto"/>
        <w:right w:val="none" w:sz="0" w:space="0" w:color="auto"/>
      </w:divBdr>
    </w:div>
    <w:div w:id="979070936">
      <w:bodyDiv w:val="1"/>
      <w:marLeft w:val="0"/>
      <w:marRight w:val="0"/>
      <w:marTop w:val="0"/>
      <w:marBottom w:val="0"/>
      <w:divBdr>
        <w:top w:val="none" w:sz="0" w:space="0" w:color="auto"/>
        <w:left w:val="none" w:sz="0" w:space="0" w:color="auto"/>
        <w:bottom w:val="none" w:sz="0" w:space="0" w:color="auto"/>
        <w:right w:val="none" w:sz="0" w:space="0" w:color="auto"/>
      </w:divBdr>
    </w:div>
    <w:div w:id="993484690">
      <w:bodyDiv w:val="1"/>
      <w:marLeft w:val="0"/>
      <w:marRight w:val="0"/>
      <w:marTop w:val="0"/>
      <w:marBottom w:val="0"/>
      <w:divBdr>
        <w:top w:val="none" w:sz="0" w:space="0" w:color="auto"/>
        <w:left w:val="none" w:sz="0" w:space="0" w:color="auto"/>
        <w:bottom w:val="none" w:sz="0" w:space="0" w:color="auto"/>
        <w:right w:val="none" w:sz="0" w:space="0" w:color="auto"/>
      </w:divBdr>
    </w:div>
    <w:div w:id="997880413">
      <w:bodyDiv w:val="1"/>
      <w:marLeft w:val="0"/>
      <w:marRight w:val="0"/>
      <w:marTop w:val="0"/>
      <w:marBottom w:val="0"/>
      <w:divBdr>
        <w:top w:val="none" w:sz="0" w:space="0" w:color="auto"/>
        <w:left w:val="none" w:sz="0" w:space="0" w:color="auto"/>
        <w:bottom w:val="none" w:sz="0" w:space="0" w:color="auto"/>
        <w:right w:val="none" w:sz="0" w:space="0" w:color="auto"/>
      </w:divBdr>
    </w:div>
    <w:div w:id="1170175112">
      <w:bodyDiv w:val="1"/>
      <w:marLeft w:val="0"/>
      <w:marRight w:val="0"/>
      <w:marTop w:val="0"/>
      <w:marBottom w:val="0"/>
      <w:divBdr>
        <w:top w:val="none" w:sz="0" w:space="0" w:color="auto"/>
        <w:left w:val="none" w:sz="0" w:space="0" w:color="auto"/>
        <w:bottom w:val="none" w:sz="0" w:space="0" w:color="auto"/>
        <w:right w:val="none" w:sz="0" w:space="0" w:color="auto"/>
      </w:divBdr>
    </w:div>
    <w:div w:id="1227883100">
      <w:bodyDiv w:val="1"/>
      <w:marLeft w:val="0"/>
      <w:marRight w:val="0"/>
      <w:marTop w:val="0"/>
      <w:marBottom w:val="0"/>
      <w:divBdr>
        <w:top w:val="none" w:sz="0" w:space="0" w:color="auto"/>
        <w:left w:val="none" w:sz="0" w:space="0" w:color="auto"/>
        <w:bottom w:val="none" w:sz="0" w:space="0" w:color="auto"/>
        <w:right w:val="none" w:sz="0" w:space="0" w:color="auto"/>
      </w:divBdr>
    </w:div>
    <w:div w:id="1330212394">
      <w:bodyDiv w:val="1"/>
      <w:marLeft w:val="0"/>
      <w:marRight w:val="0"/>
      <w:marTop w:val="0"/>
      <w:marBottom w:val="0"/>
      <w:divBdr>
        <w:top w:val="none" w:sz="0" w:space="0" w:color="auto"/>
        <w:left w:val="none" w:sz="0" w:space="0" w:color="auto"/>
        <w:bottom w:val="none" w:sz="0" w:space="0" w:color="auto"/>
        <w:right w:val="none" w:sz="0" w:space="0" w:color="auto"/>
      </w:divBdr>
    </w:div>
    <w:div w:id="1376544573">
      <w:bodyDiv w:val="1"/>
      <w:marLeft w:val="0"/>
      <w:marRight w:val="0"/>
      <w:marTop w:val="0"/>
      <w:marBottom w:val="0"/>
      <w:divBdr>
        <w:top w:val="none" w:sz="0" w:space="0" w:color="auto"/>
        <w:left w:val="none" w:sz="0" w:space="0" w:color="auto"/>
        <w:bottom w:val="none" w:sz="0" w:space="0" w:color="auto"/>
        <w:right w:val="none" w:sz="0" w:space="0" w:color="auto"/>
      </w:divBdr>
    </w:div>
    <w:div w:id="1406027720">
      <w:bodyDiv w:val="1"/>
      <w:marLeft w:val="0"/>
      <w:marRight w:val="0"/>
      <w:marTop w:val="0"/>
      <w:marBottom w:val="0"/>
      <w:divBdr>
        <w:top w:val="none" w:sz="0" w:space="0" w:color="auto"/>
        <w:left w:val="none" w:sz="0" w:space="0" w:color="auto"/>
        <w:bottom w:val="none" w:sz="0" w:space="0" w:color="auto"/>
        <w:right w:val="none" w:sz="0" w:space="0" w:color="auto"/>
      </w:divBdr>
    </w:div>
    <w:div w:id="1407529577">
      <w:bodyDiv w:val="1"/>
      <w:marLeft w:val="0"/>
      <w:marRight w:val="0"/>
      <w:marTop w:val="0"/>
      <w:marBottom w:val="0"/>
      <w:divBdr>
        <w:top w:val="none" w:sz="0" w:space="0" w:color="auto"/>
        <w:left w:val="none" w:sz="0" w:space="0" w:color="auto"/>
        <w:bottom w:val="none" w:sz="0" w:space="0" w:color="auto"/>
        <w:right w:val="none" w:sz="0" w:space="0" w:color="auto"/>
      </w:divBdr>
    </w:div>
    <w:div w:id="1540585552">
      <w:bodyDiv w:val="1"/>
      <w:marLeft w:val="0"/>
      <w:marRight w:val="0"/>
      <w:marTop w:val="0"/>
      <w:marBottom w:val="0"/>
      <w:divBdr>
        <w:top w:val="none" w:sz="0" w:space="0" w:color="auto"/>
        <w:left w:val="none" w:sz="0" w:space="0" w:color="auto"/>
        <w:bottom w:val="none" w:sz="0" w:space="0" w:color="auto"/>
        <w:right w:val="none" w:sz="0" w:space="0" w:color="auto"/>
      </w:divBdr>
    </w:div>
    <w:div w:id="1556359226">
      <w:bodyDiv w:val="1"/>
      <w:marLeft w:val="0"/>
      <w:marRight w:val="0"/>
      <w:marTop w:val="0"/>
      <w:marBottom w:val="0"/>
      <w:divBdr>
        <w:top w:val="none" w:sz="0" w:space="0" w:color="auto"/>
        <w:left w:val="none" w:sz="0" w:space="0" w:color="auto"/>
        <w:bottom w:val="none" w:sz="0" w:space="0" w:color="auto"/>
        <w:right w:val="none" w:sz="0" w:space="0" w:color="auto"/>
      </w:divBdr>
    </w:div>
    <w:div w:id="1584413909">
      <w:bodyDiv w:val="1"/>
      <w:marLeft w:val="0"/>
      <w:marRight w:val="0"/>
      <w:marTop w:val="0"/>
      <w:marBottom w:val="0"/>
      <w:divBdr>
        <w:top w:val="none" w:sz="0" w:space="0" w:color="auto"/>
        <w:left w:val="none" w:sz="0" w:space="0" w:color="auto"/>
        <w:bottom w:val="none" w:sz="0" w:space="0" w:color="auto"/>
        <w:right w:val="none" w:sz="0" w:space="0" w:color="auto"/>
      </w:divBdr>
    </w:div>
    <w:div w:id="1662418424">
      <w:bodyDiv w:val="1"/>
      <w:marLeft w:val="0"/>
      <w:marRight w:val="0"/>
      <w:marTop w:val="0"/>
      <w:marBottom w:val="0"/>
      <w:divBdr>
        <w:top w:val="none" w:sz="0" w:space="0" w:color="auto"/>
        <w:left w:val="none" w:sz="0" w:space="0" w:color="auto"/>
        <w:bottom w:val="none" w:sz="0" w:space="0" w:color="auto"/>
        <w:right w:val="none" w:sz="0" w:space="0" w:color="auto"/>
      </w:divBdr>
    </w:div>
    <w:div w:id="1672374081">
      <w:bodyDiv w:val="1"/>
      <w:marLeft w:val="0"/>
      <w:marRight w:val="0"/>
      <w:marTop w:val="0"/>
      <w:marBottom w:val="0"/>
      <w:divBdr>
        <w:top w:val="none" w:sz="0" w:space="0" w:color="auto"/>
        <w:left w:val="none" w:sz="0" w:space="0" w:color="auto"/>
        <w:bottom w:val="none" w:sz="0" w:space="0" w:color="auto"/>
        <w:right w:val="none" w:sz="0" w:space="0" w:color="auto"/>
      </w:divBdr>
    </w:div>
    <w:div w:id="1719744070">
      <w:bodyDiv w:val="1"/>
      <w:marLeft w:val="0"/>
      <w:marRight w:val="0"/>
      <w:marTop w:val="0"/>
      <w:marBottom w:val="0"/>
      <w:divBdr>
        <w:top w:val="none" w:sz="0" w:space="0" w:color="auto"/>
        <w:left w:val="none" w:sz="0" w:space="0" w:color="auto"/>
        <w:bottom w:val="none" w:sz="0" w:space="0" w:color="auto"/>
        <w:right w:val="none" w:sz="0" w:space="0" w:color="auto"/>
      </w:divBdr>
    </w:div>
    <w:div w:id="1790930332">
      <w:bodyDiv w:val="1"/>
      <w:marLeft w:val="0"/>
      <w:marRight w:val="0"/>
      <w:marTop w:val="0"/>
      <w:marBottom w:val="0"/>
      <w:divBdr>
        <w:top w:val="none" w:sz="0" w:space="0" w:color="auto"/>
        <w:left w:val="none" w:sz="0" w:space="0" w:color="auto"/>
        <w:bottom w:val="none" w:sz="0" w:space="0" w:color="auto"/>
        <w:right w:val="none" w:sz="0" w:space="0" w:color="auto"/>
      </w:divBdr>
    </w:div>
    <w:div w:id="1880585470">
      <w:bodyDiv w:val="1"/>
      <w:marLeft w:val="0"/>
      <w:marRight w:val="0"/>
      <w:marTop w:val="0"/>
      <w:marBottom w:val="0"/>
      <w:divBdr>
        <w:top w:val="none" w:sz="0" w:space="0" w:color="auto"/>
        <w:left w:val="none" w:sz="0" w:space="0" w:color="auto"/>
        <w:bottom w:val="none" w:sz="0" w:space="0" w:color="auto"/>
        <w:right w:val="none" w:sz="0" w:space="0" w:color="auto"/>
      </w:divBdr>
    </w:div>
    <w:div w:id="1924997071">
      <w:bodyDiv w:val="1"/>
      <w:marLeft w:val="0"/>
      <w:marRight w:val="0"/>
      <w:marTop w:val="0"/>
      <w:marBottom w:val="0"/>
      <w:divBdr>
        <w:top w:val="none" w:sz="0" w:space="0" w:color="auto"/>
        <w:left w:val="none" w:sz="0" w:space="0" w:color="auto"/>
        <w:bottom w:val="none" w:sz="0" w:space="0" w:color="auto"/>
        <w:right w:val="none" w:sz="0" w:space="0" w:color="auto"/>
      </w:divBdr>
    </w:div>
    <w:div w:id="1991591451">
      <w:bodyDiv w:val="1"/>
      <w:marLeft w:val="0"/>
      <w:marRight w:val="0"/>
      <w:marTop w:val="0"/>
      <w:marBottom w:val="0"/>
      <w:divBdr>
        <w:top w:val="none" w:sz="0" w:space="0" w:color="auto"/>
        <w:left w:val="none" w:sz="0" w:space="0" w:color="auto"/>
        <w:bottom w:val="none" w:sz="0" w:space="0" w:color="auto"/>
        <w:right w:val="none" w:sz="0" w:space="0" w:color="auto"/>
      </w:divBdr>
    </w:div>
    <w:div w:id="1995912112">
      <w:bodyDiv w:val="1"/>
      <w:marLeft w:val="0"/>
      <w:marRight w:val="0"/>
      <w:marTop w:val="0"/>
      <w:marBottom w:val="0"/>
      <w:divBdr>
        <w:top w:val="none" w:sz="0" w:space="0" w:color="auto"/>
        <w:left w:val="none" w:sz="0" w:space="0" w:color="auto"/>
        <w:bottom w:val="none" w:sz="0" w:space="0" w:color="auto"/>
        <w:right w:val="none" w:sz="0" w:space="0" w:color="auto"/>
      </w:divBdr>
    </w:div>
    <w:div w:id="2093693582">
      <w:bodyDiv w:val="1"/>
      <w:marLeft w:val="0"/>
      <w:marRight w:val="0"/>
      <w:marTop w:val="0"/>
      <w:marBottom w:val="0"/>
      <w:divBdr>
        <w:top w:val="none" w:sz="0" w:space="0" w:color="auto"/>
        <w:left w:val="none" w:sz="0" w:space="0" w:color="auto"/>
        <w:bottom w:val="none" w:sz="0" w:space="0" w:color="auto"/>
        <w:right w:val="none" w:sz="0" w:space="0" w:color="auto"/>
      </w:divBdr>
    </w:div>
    <w:div w:id="211447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hyperlink" Target="https://www.benzinga.com/news/18/02/11143390/busiest-trading-day-ever-brokerages-retail-clients-react-to-volatility"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styles" Target="styles.xml"/><Relationship Id="rId6" Type="http://schemas.openxmlformats.org/officeDocument/2006/relationships/image" Target="cid:image002.jpg@01D3425F.D5C3C660" TargetMode="External"/><Relationship Id="rId11" Type="http://schemas.openxmlformats.org/officeDocument/2006/relationships/hyperlink" Target="https://www.cnbc.com/2018/02/06/wall-street-turned-these-esoteric-etns-into-a-winning-bet-for-the-masses.html" TargetMode="External"/><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www.cqg.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Wienke</dc:creator>
  <cp:lastModifiedBy>D. Wienke</cp:lastModifiedBy>
  <cp:revision>3</cp:revision>
  <cp:lastPrinted>2017-10-11T12:40:00Z</cp:lastPrinted>
  <dcterms:created xsi:type="dcterms:W3CDTF">2018-02-09T20:33:00Z</dcterms:created>
  <dcterms:modified xsi:type="dcterms:W3CDTF">2018-02-09T20:43:00Z</dcterms:modified>
</cp:coreProperties>
</file>