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C90" w:rsidRDefault="00554C90" w:rsidP="00554C90">
      <w:pPr>
        <w:jc w:val="center"/>
        <w:rPr>
          <w:rFonts w:ascii="Arial" w:hAnsi="Arial" w:cs="Arial"/>
          <w:sz w:val="18"/>
          <w:szCs w:val="18"/>
        </w:rPr>
      </w:pPr>
      <w:proofErr w:type="gramStart"/>
      <w:r>
        <w:rPr>
          <w:rFonts w:ascii="Arial" w:hAnsi="Arial" w:cs="Arial"/>
          <w:sz w:val="18"/>
          <w:szCs w:val="18"/>
        </w:rPr>
        <w:t>Today’s key technical levels in equities, rates, currencies, and commodities.</w:t>
      </w:r>
      <w:proofErr w:type="gramEnd"/>
      <w:r>
        <w:rPr>
          <w:rFonts w:ascii="Arial" w:hAnsi="Arial" w:cs="Arial"/>
          <w:sz w:val="18"/>
          <w:szCs w:val="18"/>
        </w:rPr>
        <w:t xml:space="preserve"> </w:t>
      </w:r>
    </w:p>
    <w:p w:rsidR="00554C90" w:rsidRDefault="004E2EDD" w:rsidP="00D95121">
      <w:pPr>
        <w:jc w:val="center"/>
        <w:rPr>
          <w:rFonts w:ascii="Arial" w:hAnsi="Arial" w:cs="Arial"/>
          <w:sz w:val="18"/>
          <w:szCs w:val="18"/>
        </w:rPr>
      </w:pPr>
      <w:r>
        <w:rPr>
          <w:rFonts w:ascii="Arial" w:hAnsi="Arial" w:cs="Arial"/>
          <w:sz w:val="18"/>
          <w:szCs w:val="18"/>
        </w:rPr>
        <w:t>For best results in Word, click View tab then click Web Layout</w:t>
      </w:r>
    </w:p>
    <w:p w:rsidR="00554C90" w:rsidRDefault="00554C90" w:rsidP="00554C90"/>
    <w:tbl>
      <w:tblPr>
        <w:tblW w:w="10448" w:type="dxa"/>
        <w:jc w:val="center"/>
        <w:tblCellSpacing w:w="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0500"/>
      </w:tblGrid>
      <w:tr w:rsidR="00554C90" w:rsidTr="00A74973">
        <w:trPr>
          <w:trHeight w:val="12224"/>
          <w:tblCellSpacing w:w="0" w:type="dxa"/>
          <w:jc w:val="center"/>
        </w:trPr>
        <w:tc>
          <w:tcPr>
            <w:tcW w:w="10448" w:type="dxa"/>
            <w:tcBorders>
              <w:top w:val="nil"/>
              <w:left w:val="nil"/>
              <w:bottom w:val="nil"/>
              <w:right w:val="nil"/>
            </w:tcBorders>
            <w:shd w:val="clear" w:color="auto" w:fill="FFFFFF"/>
            <w:tcMar>
              <w:top w:w="150" w:type="dxa"/>
              <w:left w:w="300" w:type="dxa"/>
              <w:bottom w:w="0" w:type="dxa"/>
              <w:right w:w="300" w:type="dxa"/>
            </w:tcMar>
            <w:vAlign w:val="center"/>
          </w:tcPr>
          <w:p w:rsidR="00554C90" w:rsidRDefault="00554C90">
            <w:pPr>
              <w:spacing w:before="100" w:beforeAutospacing="1" w:after="100" w:afterAutospacing="1"/>
              <w:jc w:val="center"/>
              <w:rPr>
                <w:rFonts w:ascii="Calibri Light" w:hAnsi="Calibri Light" w:cs="Calibri Light"/>
                <w:color w:val="000099"/>
                <w:sz w:val="22"/>
                <w:szCs w:val="22"/>
              </w:rPr>
            </w:pPr>
            <w:r>
              <w:rPr>
                <w:rFonts w:ascii="Calibri Light" w:hAnsi="Calibri Light" w:cs="Calibri Light"/>
                <w:noProof/>
                <w:color w:val="000099"/>
                <w:sz w:val="22"/>
                <w:szCs w:val="22"/>
              </w:rPr>
              <w:drawing>
                <wp:inline distT="0" distB="0" distL="0" distR="0" wp14:anchorId="212AC4C2" wp14:editId="00CB1D79">
                  <wp:extent cx="6111303" cy="1771650"/>
                  <wp:effectExtent l="0" t="0" r="3810" b="0"/>
                  <wp:docPr id="43" name="Picture 43" descr="cid:image002.jpg@01D3425F.D5C3C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425F.D5C3C66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121938" cy="1774733"/>
                          </a:xfrm>
                          <a:prstGeom prst="rect">
                            <a:avLst/>
                          </a:prstGeom>
                          <a:noFill/>
                          <a:ln>
                            <a:noFill/>
                          </a:ln>
                        </pic:spPr>
                      </pic:pic>
                    </a:graphicData>
                  </a:graphic>
                </wp:inline>
              </w:drawing>
            </w:r>
          </w:p>
          <w:p w:rsidR="00554C90" w:rsidRDefault="00E80FBF">
            <w:pPr>
              <w:jc w:val="center"/>
              <w:rPr>
                <w:rFonts w:ascii="Calibri" w:eastAsia="Times New Roman" w:hAnsi="Calibri" w:cs="Calibri"/>
                <w:b/>
                <w:bCs/>
                <w:color w:val="1F497D"/>
                <w:sz w:val="22"/>
                <w:szCs w:val="22"/>
              </w:rPr>
            </w:pPr>
            <w:r>
              <w:rPr>
                <w:rFonts w:ascii="Calibri" w:eastAsia="Times New Roman" w:hAnsi="Calibri" w:cs="Calibri"/>
                <w:b/>
                <w:bCs/>
                <w:color w:val="1F497D"/>
                <w:sz w:val="22"/>
                <w:szCs w:val="22"/>
              </w:rPr>
              <w:pict>
                <v:rect id="_x0000_i1025" style="width:561.2pt;height:.75pt" o:hrpct="960" o:hralign="center" o:hrstd="t" o:hrnoshade="t" o:hr="t" fillcolor="#323e4f" stroked="f"/>
              </w:pict>
            </w:r>
          </w:p>
          <w:p w:rsidR="00267D9A" w:rsidRDefault="00267D9A" w:rsidP="00044155">
            <w:pPr>
              <w:rPr>
                <w:rFonts w:ascii="Arial" w:hAnsi="Arial" w:cs="Arial"/>
                <w:sz w:val="22"/>
                <w:szCs w:val="22"/>
              </w:rPr>
            </w:pPr>
          </w:p>
          <w:p w:rsidR="00C01E19" w:rsidRPr="00E80FBF" w:rsidRDefault="00E80FBF" w:rsidP="00D71610">
            <w:pPr>
              <w:rPr>
                <w:rFonts w:ascii="Arial" w:hAnsi="Arial" w:cs="Arial"/>
                <w:color w:val="3B3838"/>
                <w:sz w:val="20"/>
                <w:szCs w:val="20"/>
              </w:rPr>
            </w:pPr>
            <w:r w:rsidRPr="00E80FBF">
              <w:rPr>
                <w:rFonts w:ascii="Arial" w:hAnsi="Arial" w:cs="Arial"/>
              </w:rPr>
              <w:t>February 6, 2018</w:t>
            </w:r>
          </w:p>
          <w:p w:rsidR="00D71610" w:rsidRDefault="00D71610" w:rsidP="00044155">
            <w:pPr>
              <w:rPr>
                <w:rFonts w:ascii="Arial" w:hAnsi="Arial" w:cs="Arial"/>
                <w:b/>
                <w:bCs/>
                <w:sz w:val="22"/>
                <w:szCs w:val="22"/>
              </w:rPr>
            </w:pPr>
          </w:p>
          <w:p w:rsidR="00A74973" w:rsidRDefault="00A74973" w:rsidP="00A74973">
            <w:pPr>
              <w:spacing w:line="276" w:lineRule="auto"/>
              <w:rPr>
                <w:rFonts w:ascii="Arial" w:hAnsi="Arial" w:cs="Arial"/>
                <w:bCs/>
                <w:color w:val="3B3838"/>
                <w:sz w:val="20"/>
                <w:szCs w:val="20"/>
              </w:rPr>
            </w:pPr>
            <w:r>
              <w:rPr>
                <w:rFonts w:ascii="Arial" w:hAnsi="Arial" w:cs="Arial"/>
                <w:b/>
                <w:bCs/>
                <w:color w:val="3B3838"/>
              </w:rPr>
              <w:t xml:space="preserve">TODAY’S GAME PLAN:           </w:t>
            </w:r>
            <w:bookmarkStart w:id="0" w:name="_GoBack"/>
            <w:bookmarkEnd w:id="0"/>
          </w:p>
          <w:p w:rsidR="00A74973" w:rsidRDefault="00A74973" w:rsidP="00A74973">
            <w:pPr>
              <w:spacing w:line="276" w:lineRule="auto"/>
              <w:rPr>
                <w:rFonts w:ascii="Arial" w:hAnsi="Arial" w:cs="Arial"/>
                <w:color w:val="3B3838"/>
                <w:sz w:val="20"/>
                <w:szCs w:val="20"/>
              </w:rPr>
            </w:pPr>
          </w:p>
          <w:tbl>
            <w:tblPr>
              <w:tblStyle w:val="TableGrid"/>
              <w:tblW w:w="0" w:type="auto"/>
              <w:tblInd w:w="0" w:type="dxa"/>
              <w:tblLook w:val="04A0" w:firstRow="1" w:lastRow="0" w:firstColumn="1" w:lastColumn="0" w:noHBand="0" w:noVBand="1"/>
            </w:tblPr>
            <w:tblGrid>
              <w:gridCol w:w="1567"/>
              <w:gridCol w:w="8317"/>
            </w:tblGrid>
            <w:tr w:rsidR="00A74973" w:rsidTr="00A74973">
              <w:trPr>
                <w:trHeight w:val="377"/>
              </w:trPr>
              <w:tc>
                <w:tcPr>
                  <w:tcW w:w="1567" w:type="dxa"/>
                  <w:tcBorders>
                    <w:top w:val="single" w:sz="4" w:space="0" w:color="auto"/>
                    <w:left w:val="single" w:sz="4" w:space="0" w:color="auto"/>
                    <w:bottom w:val="single" w:sz="4" w:space="0" w:color="auto"/>
                    <w:right w:val="single" w:sz="4" w:space="0" w:color="auto"/>
                  </w:tcBorders>
                  <w:vAlign w:val="center"/>
                  <w:hideMark/>
                </w:tcPr>
                <w:p w:rsidR="00A74973" w:rsidRDefault="00A74973">
                  <w:pPr>
                    <w:spacing w:line="276" w:lineRule="auto"/>
                    <w:rPr>
                      <w:rFonts w:ascii="Arial" w:eastAsiaTheme="minorHAnsi" w:hAnsi="Arial" w:cs="Arial"/>
                      <w:bCs/>
                      <w:color w:val="3B3838"/>
                      <w:sz w:val="20"/>
                      <w:szCs w:val="20"/>
                    </w:rPr>
                  </w:pPr>
                  <w:r>
                    <w:rPr>
                      <w:rFonts w:ascii="Arial" w:hAnsi="Arial" w:cs="Arial"/>
                      <w:bCs/>
                      <w:color w:val="3B3838"/>
                      <w:sz w:val="20"/>
                      <w:szCs w:val="20"/>
                    </w:rPr>
                    <w:t>EQUITIES</w:t>
                  </w:r>
                </w:p>
              </w:tc>
              <w:tc>
                <w:tcPr>
                  <w:tcW w:w="8317" w:type="dxa"/>
                  <w:tcBorders>
                    <w:top w:val="single" w:sz="4" w:space="0" w:color="auto"/>
                    <w:left w:val="single" w:sz="4" w:space="0" w:color="auto"/>
                    <w:bottom w:val="single" w:sz="4" w:space="0" w:color="auto"/>
                    <w:right w:val="single" w:sz="4" w:space="0" w:color="auto"/>
                  </w:tcBorders>
                  <w:hideMark/>
                </w:tcPr>
                <w:p w:rsidR="00A74973" w:rsidRDefault="00A74973">
                  <w:pPr>
                    <w:spacing w:line="276" w:lineRule="auto"/>
                    <w:rPr>
                      <w:rFonts w:ascii="Arial" w:eastAsiaTheme="minorHAnsi" w:hAnsi="Arial" w:cs="Arial"/>
                      <w:bCs/>
                      <w:color w:val="3B3838"/>
                      <w:sz w:val="20"/>
                      <w:szCs w:val="20"/>
                    </w:rPr>
                  </w:pPr>
                  <w:r>
                    <w:rPr>
                      <w:rFonts w:ascii="Arial" w:hAnsi="Arial" w:cs="Arial"/>
                      <w:bCs/>
                      <w:color w:val="3B3838"/>
                      <w:sz w:val="20"/>
                      <w:szCs w:val="20"/>
                    </w:rPr>
                    <w:t xml:space="preserve">ESH 2573 is initial key early, weakness below could see a retest of the overnight lows at the 200dma* which is pivotal in SPX.  IF SPX can open flat and hold its 100dma early may be able to see a bounce.  VIX and VIX ETNs are the key today; VIX nearing 2015 high.  1406 area is initial key in RTYH.  QQQ has 154.60 (100dma) as pivotal support. </w:t>
                  </w:r>
                </w:p>
              </w:tc>
            </w:tr>
            <w:tr w:rsidR="00A74973" w:rsidTr="00A74973">
              <w:tc>
                <w:tcPr>
                  <w:tcW w:w="1567" w:type="dxa"/>
                  <w:tcBorders>
                    <w:top w:val="single" w:sz="4" w:space="0" w:color="auto"/>
                    <w:left w:val="single" w:sz="4" w:space="0" w:color="auto"/>
                    <w:bottom w:val="single" w:sz="4" w:space="0" w:color="auto"/>
                    <w:right w:val="single" w:sz="4" w:space="0" w:color="auto"/>
                  </w:tcBorders>
                  <w:vAlign w:val="center"/>
                  <w:hideMark/>
                </w:tcPr>
                <w:p w:rsidR="00A74973" w:rsidRDefault="00A74973">
                  <w:pPr>
                    <w:spacing w:line="276" w:lineRule="auto"/>
                    <w:rPr>
                      <w:rFonts w:ascii="Arial" w:eastAsiaTheme="minorHAnsi" w:hAnsi="Arial" w:cs="Arial"/>
                      <w:bCs/>
                      <w:color w:val="3B3838"/>
                      <w:sz w:val="20"/>
                      <w:szCs w:val="20"/>
                    </w:rPr>
                  </w:pPr>
                  <w:r>
                    <w:rPr>
                      <w:rFonts w:ascii="Arial" w:hAnsi="Arial" w:cs="Arial"/>
                      <w:bCs/>
                      <w:color w:val="3B3838"/>
                      <w:sz w:val="20"/>
                      <w:szCs w:val="20"/>
                    </w:rPr>
                    <w:t>RATES</w:t>
                  </w:r>
                </w:p>
              </w:tc>
              <w:tc>
                <w:tcPr>
                  <w:tcW w:w="8317" w:type="dxa"/>
                  <w:tcBorders>
                    <w:top w:val="single" w:sz="4" w:space="0" w:color="auto"/>
                    <w:left w:val="single" w:sz="4" w:space="0" w:color="auto"/>
                    <w:bottom w:val="single" w:sz="4" w:space="0" w:color="auto"/>
                    <w:right w:val="single" w:sz="4" w:space="0" w:color="auto"/>
                  </w:tcBorders>
                  <w:hideMark/>
                </w:tcPr>
                <w:p w:rsidR="00A74973" w:rsidRDefault="00A74973">
                  <w:pPr>
                    <w:spacing w:line="276" w:lineRule="auto"/>
                    <w:rPr>
                      <w:rFonts w:ascii="Arial" w:eastAsiaTheme="minorHAnsi" w:hAnsi="Arial" w:cs="Arial"/>
                      <w:bCs/>
                      <w:color w:val="3B3838"/>
                      <w:sz w:val="20"/>
                      <w:szCs w:val="20"/>
                    </w:rPr>
                  </w:pPr>
                  <w:r>
                    <w:rPr>
                      <w:rFonts w:ascii="Arial" w:hAnsi="Arial" w:cs="Arial"/>
                      <w:bCs/>
                      <w:color w:val="3B3838"/>
                      <w:sz w:val="20"/>
                      <w:szCs w:val="20"/>
                    </w:rPr>
                    <w:t>USH8 tests the 200 week mvg avg* of 147-20 key resistance.  TYH has year vwap at 122-12 and closing pivot.  2.64% is pivot pt support in 10 yr yield. USH vs ESH is positive, but the passive investment strategy charts are negative</w:t>
                  </w:r>
                </w:p>
              </w:tc>
            </w:tr>
            <w:tr w:rsidR="00A74973" w:rsidTr="00A74973">
              <w:tc>
                <w:tcPr>
                  <w:tcW w:w="1567" w:type="dxa"/>
                  <w:tcBorders>
                    <w:top w:val="single" w:sz="4" w:space="0" w:color="auto"/>
                    <w:left w:val="single" w:sz="4" w:space="0" w:color="auto"/>
                    <w:bottom w:val="single" w:sz="4" w:space="0" w:color="auto"/>
                    <w:right w:val="single" w:sz="4" w:space="0" w:color="auto"/>
                  </w:tcBorders>
                  <w:vAlign w:val="center"/>
                  <w:hideMark/>
                </w:tcPr>
                <w:p w:rsidR="00A74973" w:rsidRDefault="00A74973">
                  <w:pPr>
                    <w:spacing w:line="276" w:lineRule="auto"/>
                    <w:rPr>
                      <w:rFonts w:ascii="Arial" w:eastAsiaTheme="minorHAnsi" w:hAnsi="Arial" w:cs="Arial"/>
                      <w:bCs/>
                      <w:color w:val="3B3838"/>
                      <w:sz w:val="20"/>
                      <w:szCs w:val="20"/>
                    </w:rPr>
                  </w:pPr>
                  <w:r>
                    <w:rPr>
                      <w:rFonts w:ascii="Arial" w:hAnsi="Arial" w:cs="Arial"/>
                      <w:bCs/>
                      <w:color w:val="3B3838"/>
                      <w:sz w:val="20"/>
                      <w:szCs w:val="20"/>
                    </w:rPr>
                    <w:t>ENERGY</w:t>
                  </w:r>
                </w:p>
              </w:tc>
              <w:tc>
                <w:tcPr>
                  <w:tcW w:w="8317" w:type="dxa"/>
                  <w:tcBorders>
                    <w:top w:val="single" w:sz="4" w:space="0" w:color="auto"/>
                    <w:left w:val="single" w:sz="4" w:space="0" w:color="auto"/>
                    <w:bottom w:val="single" w:sz="4" w:space="0" w:color="auto"/>
                    <w:right w:val="single" w:sz="4" w:space="0" w:color="auto"/>
                  </w:tcBorders>
                  <w:hideMark/>
                </w:tcPr>
                <w:p w:rsidR="00A74973" w:rsidRDefault="00A74973">
                  <w:pPr>
                    <w:spacing w:line="276" w:lineRule="auto"/>
                    <w:rPr>
                      <w:rFonts w:ascii="Arial" w:eastAsiaTheme="minorHAnsi" w:hAnsi="Arial" w:cs="Arial"/>
                      <w:bCs/>
                      <w:color w:val="3B3838"/>
                      <w:sz w:val="20"/>
                      <w:szCs w:val="20"/>
                    </w:rPr>
                  </w:pPr>
                  <w:r>
                    <w:rPr>
                      <w:rFonts w:ascii="Arial" w:hAnsi="Arial" w:cs="Arial"/>
                      <w:bCs/>
                      <w:color w:val="3B3838"/>
                      <w:sz w:val="20"/>
                      <w:szCs w:val="20"/>
                    </w:rPr>
                    <w:t>CLH8 should see some weakness from equities. Negative below the yr vwap and look for 60.89 50dma as target. Brent neg below 67.70 today looking for 65 handle. RBOB neg below 1.8420 with 1.7820 initial target and pivot.  Nat Gas has 2.6888 as s/t .786 and pivotal s/t. 2.5 major support below</w:t>
                  </w:r>
                </w:p>
              </w:tc>
            </w:tr>
            <w:tr w:rsidR="00A74973" w:rsidTr="00A74973">
              <w:tc>
                <w:tcPr>
                  <w:tcW w:w="1567" w:type="dxa"/>
                  <w:tcBorders>
                    <w:top w:val="single" w:sz="4" w:space="0" w:color="auto"/>
                    <w:left w:val="single" w:sz="4" w:space="0" w:color="auto"/>
                    <w:bottom w:val="single" w:sz="4" w:space="0" w:color="auto"/>
                    <w:right w:val="single" w:sz="4" w:space="0" w:color="auto"/>
                  </w:tcBorders>
                  <w:vAlign w:val="center"/>
                  <w:hideMark/>
                </w:tcPr>
                <w:p w:rsidR="00A74973" w:rsidRDefault="00A74973">
                  <w:pPr>
                    <w:spacing w:line="276" w:lineRule="auto"/>
                    <w:rPr>
                      <w:rFonts w:ascii="Arial" w:eastAsiaTheme="minorHAnsi" w:hAnsi="Arial" w:cs="Arial"/>
                      <w:bCs/>
                      <w:color w:val="3B3838"/>
                      <w:sz w:val="20"/>
                      <w:szCs w:val="20"/>
                    </w:rPr>
                  </w:pPr>
                  <w:r>
                    <w:rPr>
                      <w:rFonts w:ascii="Arial" w:hAnsi="Arial" w:cs="Arial"/>
                      <w:bCs/>
                      <w:color w:val="3B3838"/>
                      <w:sz w:val="20"/>
                      <w:szCs w:val="20"/>
                    </w:rPr>
                    <w:t>METALS</w:t>
                  </w:r>
                </w:p>
              </w:tc>
              <w:tc>
                <w:tcPr>
                  <w:tcW w:w="8317" w:type="dxa"/>
                  <w:tcBorders>
                    <w:top w:val="single" w:sz="4" w:space="0" w:color="auto"/>
                    <w:left w:val="single" w:sz="4" w:space="0" w:color="auto"/>
                    <w:bottom w:val="single" w:sz="4" w:space="0" w:color="auto"/>
                    <w:right w:val="single" w:sz="4" w:space="0" w:color="auto"/>
                  </w:tcBorders>
                  <w:hideMark/>
                </w:tcPr>
                <w:p w:rsidR="00A74973" w:rsidRDefault="00A74973">
                  <w:pPr>
                    <w:spacing w:line="276" w:lineRule="auto"/>
                    <w:rPr>
                      <w:rFonts w:ascii="Arial" w:eastAsiaTheme="minorHAnsi" w:hAnsi="Arial" w:cs="Arial"/>
                      <w:bCs/>
                      <w:color w:val="3B3838"/>
                      <w:sz w:val="20"/>
                      <w:szCs w:val="20"/>
                    </w:rPr>
                  </w:pPr>
                  <w:r>
                    <w:rPr>
                      <w:rFonts w:ascii="Arial" w:hAnsi="Arial" w:cs="Arial"/>
                      <w:bCs/>
                      <w:color w:val="3B3838"/>
                      <w:sz w:val="20"/>
                      <w:szCs w:val="20"/>
                    </w:rPr>
                    <w:t>Gold has been holding a positive tone, even with silver weakness.  US$, CNH weakness the keys. SIH8 holds cloud support, but needs a clean break and settle above 16.925. Copper is mixed</w:t>
                  </w:r>
                </w:p>
              </w:tc>
            </w:tr>
            <w:tr w:rsidR="00A74973" w:rsidTr="00A74973">
              <w:tc>
                <w:tcPr>
                  <w:tcW w:w="1567" w:type="dxa"/>
                  <w:tcBorders>
                    <w:top w:val="single" w:sz="4" w:space="0" w:color="auto"/>
                    <w:left w:val="single" w:sz="4" w:space="0" w:color="auto"/>
                    <w:bottom w:val="single" w:sz="4" w:space="0" w:color="auto"/>
                    <w:right w:val="single" w:sz="4" w:space="0" w:color="auto"/>
                  </w:tcBorders>
                  <w:vAlign w:val="center"/>
                  <w:hideMark/>
                </w:tcPr>
                <w:p w:rsidR="00A74973" w:rsidRDefault="00A74973">
                  <w:pPr>
                    <w:spacing w:line="276" w:lineRule="auto"/>
                    <w:rPr>
                      <w:rFonts w:ascii="Arial" w:eastAsiaTheme="minorHAnsi" w:hAnsi="Arial" w:cs="Arial"/>
                      <w:bCs/>
                      <w:color w:val="3B3838"/>
                      <w:sz w:val="20"/>
                      <w:szCs w:val="20"/>
                    </w:rPr>
                  </w:pPr>
                  <w:r>
                    <w:rPr>
                      <w:rFonts w:ascii="Arial" w:hAnsi="Arial" w:cs="Arial"/>
                      <w:bCs/>
                      <w:color w:val="3B3838"/>
                      <w:sz w:val="20"/>
                      <w:szCs w:val="20"/>
                    </w:rPr>
                    <w:t>CURRENCIES</w:t>
                  </w:r>
                </w:p>
              </w:tc>
              <w:tc>
                <w:tcPr>
                  <w:tcW w:w="8317" w:type="dxa"/>
                  <w:tcBorders>
                    <w:top w:val="single" w:sz="4" w:space="0" w:color="auto"/>
                    <w:left w:val="single" w:sz="4" w:space="0" w:color="auto"/>
                    <w:bottom w:val="single" w:sz="4" w:space="0" w:color="auto"/>
                    <w:right w:val="single" w:sz="4" w:space="0" w:color="auto"/>
                  </w:tcBorders>
                  <w:hideMark/>
                </w:tcPr>
                <w:p w:rsidR="00A74973" w:rsidRDefault="00A74973">
                  <w:pPr>
                    <w:spacing w:line="276" w:lineRule="auto"/>
                    <w:rPr>
                      <w:rFonts w:ascii="Arial" w:eastAsiaTheme="minorHAnsi" w:hAnsi="Arial" w:cs="Arial"/>
                      <w:bCs/>
                      <w:color w:val="3B3838"/>
                      <w:sz w:val="20"/>
                      <w:szCs w:val="20"/>
                    </w:rPr>
                  </w:pPr>
                  <w:r>
                    <w:rPr>
                      <w:rFonts w:ascii="Arial" w:hAnsi="Arial" w:cs="Arial"/>
                      <w:bCs/>
                      <w:color w:val="3B3838"/>
                      <w:sz w:val="20"/>
                      <w:szCs w:val="20"/>
                    </w:rPr>
                    <w:t xml:space="preserve">US$ is holding above long term key support, but lacks any momentum. CNH lower again is a highlight to watch.  Yen holds vwap support and rallies on safe haven trade.  USDCAD nearing its 50dma which is s/t pivotal pt (CA^ 79410). </w:t>
                  </w:r>
                </w:p>
              </w:tc>
            </w:tr>
          </w:tbl>
          <w:p w:rsidR="00A74973" w:rsidRDefault="00A74973" w:rsidP="00A74973">
            <w:pPr>
              <w:spacing w:before="100" w:beforeAutospacing="1" w:after="100" w:afterAutospacing="1"/>
              <w:rPr>
                <w:rFonts w:ascii="Arial" w:hAnsi="Arial" w:cs="Arial"/>
                <w:sz w:val="20"/>
                <w:szCs w:val="20"/>
              </w:rPr>
            </w:pPr>
            <w:r>
              <w:rPr>
                <w:rFonts w:ascii="Arial" w:hAnsi="Arial" w:cs="Arial"/>
                <w:b/>
                <w:bCs/>
                <w:color w:val="3B3838"/>
              </w:rPr>
              <w:t xml:space="preserve">TRADE IDEAS:   </w:t>
            </w:r>
          </w:p>
          <w:p w:rsidR="00A74973" w:rsidRDefault="00A74973" w:rsidP="00A74973">
            <w:pPr>
              <w:spacing w:before="100" w:beforeAutospacing="1" w:after="100" w:afterAutospacing="1" w:line="276" w:lineRule="auto"/>
              <w:rPr>
                <w:rFonts w:ascii="Arial" w:hAnsi="Arial" w:cs="Arial"/>
                <w:bCs/>
                <w:color w:val="3B3838"/>
                <w:sz w:val="20"/>
                <w:szCs w:val="20"/>
              </w:rPr>
            </w:pPr>
            <w:r>
              <w:rPr>
                <w:rFonts w:ascii="Arial" w:hAnsi="Arial" w:cs="Arial"/>
                <w:b/>
                <w:bCs/>
                <w:color w:val="3B3838"/>
                <w:sz w:val="22"/>
                <w:szCs w:val="22"/>
              </w:rPr>
              <w:t>New Ideas: </w:t>
            </w:r>
            <w:r>
              <w:rPr>
                <w:rFonts w:ascii="Arial" w:hAnsi="Arial" w:cs="Arial"/>
                <w:bCs/>
                <w:color w:val="3B3838"/>
                <w:sz w:val="20"/>
                <w:szCs w:val="20"/>
              </w:rPr>
              <w:t xml:space="preserve">  </w:t>
            </w:r>
          </w:p>
          <w:tbl>
            <w:tblPr>
              <w:tblW w:w="9800" w:type="dxa"/>
              <w:tblLook w:val="04A0" w:firstRow="1" w:lastRow="0" w:firstColumn="1" w:lastColumn="0" w:noHBand="0" w:noVBand="1"/>
            </w:tblPr>
            <w:tblGrid>
              <w:gridCol w:w="1180"/>
              <w:gridCol w:w="1900"/>
              <w:gridCol w:w="1180"/>
              <w:gridCol w:w="1040"/>
              <w:gridCol w:w="1060"/>
              <w:gridCol w:w="960"/>
              <w:gridCol w:w="2480"/>
            </w:tblGrid>
            <w:tr w:rsidR="00A74973" w:rsidTr="00A74973">
              <w:trPr>
                <w:trHeight w:val="300"/>
              </w:trPr>
              <w:tc>
                <w:tcPr>
                  <w:tcW w:w="1180" w:type="dxa"/>
                  <w:tcBorders>
                    <w:top w:val="single" w:sz="4" w:space="0" w:color="auto"/>
                    <w:left w:val="single" w:sz="4" w:space="0" w:color="auto"/>
                    <w:bottom w:val="single" w:sz="4" w:space="0" w:color="auto"/>
                    <w:right w:val="single" w:sz="4" w:space="0" w:color="auto"/>
                  </w:tcBorders>
                  <w:noWrap/>
                  <w:vAlign w:val="bottom"/>
                  <w:hideMark/>
                </w:tcPr>
                <w:p w:rsidR="00A74973" w:rsidRDefault="00A74973">
                  <w:pPr>
                    <w:jc w:val="center"/>
                    <w:rPr>
                      <w:rFonts w:ascii="Arial" w:eastAsia="Times New Roman" w:hAnsi="Arial" w:cs="Arial"/>
                      <w:color w:val="000000"/>
                      <w:sz w:val="20"/>
                      <w:szCs w:val="20"/>
                    </w:rPr>
                  </w:pPr>
                  <w:r>
                    <w:rPr>
                      <w:rFonts w:ascii="Arial" w:eastAsia="Times New Roman" w:hAnsi="Arial" w:cs="Arial"/>
                      <w:color w:val="000000"/>
                      <w:sz w:val="20"/>
                      <w:szCs w:val="20"/>
                    </w:rPr>
                    <w:t>Date</w:t>
                  </w:r>
                </w:p>
              </w:tc>
              <w:tc>
                <w:tcPr>
                  <w:tcW w:w="1900" w:type="dxa"/>
                  <w:tcBorders>
                    <w:top w:val="single" w:sz="4" w:space="0" w:color="auto"/>
                    <w:left w:val="nil"/>
                    <w:bottom w:val="single" w:sz="4" w:space="0" w:color="auto"/>
                    <w:right w:val="single" w:sz="4" w:space="0" w:color="auto"/>
                  </w:tcBorders>
                  <w:noWrap/>
                  <w:vAlign w:val="bottom"/>
                  <w:hideMark/>
                </w:tcPr>
                <w:p w:rsidR="00A74973" w:rsidRDefault="00A74973">
                  <w:pPr>
                    <w:jc w:val="center"/>
                    <w:rPr>
                      <w:rFonts w:ascii="Arial" w:eastAsia="Times New Roman" w:hAnsi="Arial" w:cs="Arial"/>
                      <w:color w:val="000000"/>
                      <w:sz w:val="20"/>
                      <w:szCs w:val="20"/>
                    </w:rPr>
                  </w:pPr>
                  <w:r>
                    <w:rPr>
                      <w:rFonts w:ascii="Arial" w:eastAsia="Times New Roman" w:hAnsi="Arial" w:cs="Arial"/>
                      <w:color w:val="000000"/>
                      <w:sz w:val="20"/>
                      <w:szCs w:val="20"/>
                    </w:rPr>
                    <w:t>Commodity</w:t>
                  </w:r>
                </w:p>
              </w:tc>
              <w:tc>
                <w:tcPr>
                  <w:tcW w:w="1180" w:type="dxa"/>
                  <w:tcBorders>
                    <w:top w:val="single" w:sz="4" w:space="0" w:color="auto"/>
                    <w:left w:val="nil"/>
                    <w:bottom w:val="single" w:sz="4" w:space="0" w:color="auto"/>
                    <w:right w:val="single" w:sz="4" w:space="0" w:color="auto"/>
                  </w:tcBorders>
                  <w:noWrap/>
                  <w:vAlign w:val="bottom"/>
                  <w:hideMark/>
                </w:tcPr>
                <w:p w:rsidR="00A74973" w:rsidRDefault="00A74973">
                  <w:pPr>
                    <w:jc w:val="center"/>
                    <w:rPr>
                      <w:rFonts w:ascii="Arial" w:eastAsia="Times New Roman" w:hAnsi="Arial" w:cs="Arial"/>
                      <w:color w:val="000000"/>
                      <w:sz w:val="20"/>
                      <w:szCs w:val="20"/>
                    </w:rPr>
                  </w:pPr>
                  <w:r>
                    <w:rPr>
                      <w:rFonts w:ascii="Arial" w:eastAsia="Times New Roman" w:hAnsi="Arial" w:cs="Arial"/>
                      <w:color w:val="000000"/>
                      <w:sz w:val="20"/>
                      <w:szCs w:val="20"/>
                    </w:rPr>
                    <w:t>Buy</w:t>
                  </w:r>
                </w:p>
              </w:tc>
              <w:tc>
                <w:tcPr>
                  <w:tcW w:w="1040" w:type="dxa"/>
                  <w:tcBorders>
                    <w:top w:val="single" w:sz="4" w:space="0" w:color="auto"/>
                    <w:left w:val="nil"/>
                    <w:bottom w:val="single" w:sz="4" w:space="0" w:color="auto"/>
                    <w:right w:val="single" w:sz="4" w:space="0" w:color="auto"/>
                  </w:tcBorders>
                  <w:noWrap/>
                  <w:vAlign w:val="bottom"/>
                  <w:hideMark/>
                </w:tcPr>
                <w:p w:rsidR="00A74973" w:rsidRDefault="00A74973">
                  <w:pPr>
                    <w:jc w:val="center"/>
                    <w:rPr>
                      <w:rFonts w:ascii="Arial" w:eastAsia="Times New Roman" w:hAnsi="Arial" w:cs="Arial"/>
                      <w:color w:val="000000"/>
                      <w:sz w:val="20"/>
                      <w:szCs w:val="20"/>
                    </w:rPr>
                  </w:pPr>
                  <w:r>
                    <w:rPr>
                      <w:rFonts w:ascii="Arial" w:eastAsia="Times New Roman" w:hAnsi="Arial" w:cs="Arial"/>
                      <w:color w:val="000000"/>
                      <w:sz w:val="20"/>
                      <w:szCs w:val="20"/>
                    </w:rPr>
                    <w:t>Sell</w:t>
                  </w:r>
                </w:p>
              </w:tc>
              <w:tc>
                <w:tcPr>
                  <w:tcW w:w="1060" w:type="dxa"/>
                  <w:tcBorders>
                    <w:top w:val="single" w:sz="4" w:space="0" w:color="auto"/>
                    <w:left w:val="nil"/>
                    <w:bottom w:val="single" w:sz="4" w:space="0" w:color="auto"/>
                    <w:right w:val="single" w:sz="4" w:space="0" w:color="auto"/>
                  </w:tcBorders>
                  <w:noWrap/>
                  <w:vAlign w:val="bottom"/>
                  <w:hideMark/>
                </w:tcPr>
                <w:p w:rsidR="00A74973" w:rsidRDefault="00A74973">
                  <w:pPr>
                    <w:jc w:val="center"/>
                    <w:rPr>
                      <w:rFonts w:ascii="Arial" w:eastAsia="Times New Roman" w:hAnsi="Arial" w:cs="Arial"/>
                      <w:color w:val="000000"/>
                      <w:sz w:val="20"/>
                      <w:szCs w:val="20"/>
                    </w:rPr>
                  </w:pPr>
                  <w:r>
                    <w:rPr>
                      <w:rFonts w:ascii="Arial" w:eastAsia="Times New Roman" w:hAnsi="Arial" w:cs="Arial"/>
                      <w:color w:val="000000"/>
                      <w:sz w:val="20"/>
                      <w:szCs w:val="20"/>
                    </w:rPr>
                    <w:t>Stop</w:t>
                  </w:r>
                </w:p>
              </w:tc>
              <w:tc>
                <w:tcPr>
                  <w:tcW w:w="960" w:type="dxa"/>
                  <w:tcBorders>
                    <w:top w:val="single" w:sz="4" w:space="0" w:color="auto"/>
                    <w:left w:val="nil"/>
                    <w:bottom w:val="single" w:sz="4" w:space="0" w:color="auto"/>
                    <w:right w:val="single" w:sz="4" w:space="0" w:color="auto"/>
                  </w:tcBorders>
                  <w:noWrap/>
                  <w:vAlign w:val="bottom"/>
                  <w:hideMark/>
                </w:tcPr>
                <w:p w:rsidR="00A74973" w:rsidRDefault="00A74973">
                  <w:pPr>
                    <w:jc w:val="center"/>
                    <w:rPr>
                      <w:rFonts w:ascii="Arial" w:eastAsia="Times New Roman" w:hAnsi="Arial" w:cs="Arial"/>
                      <w:color w:val="000000"/>
                      <w:sz w:val="20"/>
                      <w:szCs w:val="20"/>
                    </w:rPr>
                  </w:pPr>
                  <w:r>
                    <w:rPr>
                      <w:rFonts w:ascii="Arial" w:eastAsia="Times New Roman" w:hAnsi="Arial" w:cs="Arial"/>
                      <w:color w:val="000000"/>
                      <w:sz w:val="20"/>
                      <w:szCs w:val="20"/>
                    </w:rPr>
                    <w:t>Target</w:t>
                  </w:r>
                </w:p>
              </w:tc>
              <w:tc>
                <w:tcPr>
                  <w:tcW w:w="2480" w:type="dxa"/>
                  <w:tcBorders>
                    <w:top w:val="single" w:sz="4" w:space="0" w:color="auto"/>
                    <w:left w:val="nil"/>
                    <w:bottom w:val="single" w:sz="4" w:space="0" w:color="auto"/>
                    <w:right w:val="single" w:sz="4" w:space="0" w:color="auto"/>
                  </w:tcBorders>
                  <w:shd w:val="clear" w:color="auto" w:fill="F2F2F2"/>
                  <w:noWrap/>
                  <w:vAlign w:val="bottom"/>
                  <w:hideMark/>
                </w:tcPr>
                <w:p w:rsidR="00A74973" w:rsidRDefault="00A74973">
                  <w:pPr>
                    <w:jc w:val="center"/>
                    <w:rPr>
                      <w:rFonts w:ascii="Arial" w:eastAsia="Times New Roman" w:hAnsi="Arial" w:cs="Arial"/>
                      <w:color w:val="000000"/>
                      <w:sz w:val="20"/>
                      <w:szCs w:val="20"/>
                    </w:rPr>
                  </w:pPr>
                  <w:r>
                    <w:rPr>
                      <w:rFonts w:ascii="Arial" w:eastAsia="Times New Roman" w:hAnsi="Arial" w:cs="Arial"/>
                      <w:color w:val="000000"/>
                      <w:sz w:val="20"/>
                      <w:szCs w:val="20"/>
                    </w:rPr>
                    <w:t>Notes</w:t>
                  </w:r>
                </w:p>
              </w:tc>
            </w:tr>
            <w:tr w:rsidR="00A74973" w:rsidTr="00A74973">
              <w:trPr>
                <w:trHeight w:val="300"/>
              </w:trPr>
              <w:tc>
                <w:tcPr>
                  <w:tcW w:w="1180" w:type="dxa"/>
                  <w:tcBorders>
                    <w:top w:val="nil"/>
                    <w:left w:val="single" w:sz="4" w:space="0" w:color="auto"/>
                    <w:bottom w:val="single" w:sz="4" w:space="0" w:color="auto"/>
                    <w:right w:val="single" w:sz="4" w:space="0" w:color="auto"/>
                  </w:tcBorders>
                  <w:noWrap/>
                  <w:vAlign w:val="center"/>
                  <w:hideMark/>
                </w:tcPr>
                <w:p w:rsidR="00A74973" w:rsidRDefault="00A74973">
                  <w:pPr>
                    <w:jc w:val="center"/>
                    <w:rPr>
                      <w:rFonts w:ascii="Arial" w:eastAsia="Times New Roman" w:hAnsi="Arial" w:cs="Arial"/>
                      <w:color w:val="000000"/>
                      <w:sz w:val="20"/>
                      <w:szCs w:val="20"/>
                    </w:rPr>
                  </w:pPr>
                  <w:r>
                    <w:rPr>
                      <w:rFonts w:ascii="Arial" w:eastAsia="Times New Roman" w:hAnsi="Arial" w:cs="Arial"/>
                      <w:color w:val="000000"/>
                      <w:sz w:val="20"/>
                      <w:szCs w:val="20"/>
                    </w:rPr>
                    <w:t>2/6</w:t>
                  </w:r>
                </w:p>
              </w:tc>
              <w:tc>
                <w:tcPr>
                  <w:tcW w:w="1900" w:type="dxa"/>
                  <w:tcBorders>
                    <w:top w:val="nil"/>
                    <w:left w:val="nil"/>
                    <w:bottom w:val="single" w:sz="4" w:space="0" w:color="auto"/>
                    <w:right w:val="single" w:sz="4" w:space="0" w:color="auto"/>
                  </w:tcBorders>
                  <w:noWrap/>
                  <w:vAlign w:val="center"/>
                  <w:hideMark/>
                </w:tcPr>
                <w:p w:rsidR="00A74973" w:rsidRDefault="00A74973">
                  <w:pPr>
                    <w:jc w:val="center"/>
                    <w:rPr>
                      <w:rFonts w:ascii="Arial" w:eastAsia="Times New Roman" w:hAnsi="Arial" w:cs="Arial"/>
                      <w:color w:val="000000"/>
                      <w:sz w:val="20"/>
                      <w:szCs w:val="20"/>
                    </w:rPr>
                  </w:pPr>
                  <w:r>
                    <w:rPr>
                      <w:rFonts w:ascii="Arial" w:eastAsia="Times New Roman" w:hAnsi="Arial" w:cs="Arial"/>
                      <w:color w:val="000000"/>
                      <w:sz w:val="20"/>
                      <w:szCs w:val="20"/>
                    </w:rPr>
                    <w:t>CLH8</w:t>
                  </w:r>
                </w:p>
              </w:tc>
              <w:tc>
                <w:tcPr>
                  <w:tcW w:w="1180" w:type="dxa"/>
                  <w:tcBorders>
                    <w:top w:val="nil"/>
                    <w:left w:val="nil"/>
                    <w:bottom w:val="single" w:sz="4" w:space="0" w:color="auto"/>
                    <w:right w:val="single" w:sz="4" w:space="0" w:color="auto"/>
                  </w:tcBorders>
                  <w:noWrap/>
                  <w:vAlign w:val="center"/>
                </w:tcPr>
                <w:p w:rsidR="00A74973" w:rsidRDefault="00A74973">
                  <w:pPr>
                    <w:jc w:val="center"/>
                    <w:rPr>
                      <w:rFonts w:ascii="Arial" w:eastAsia="Times New Roman" w:hAnsi="Arial" w:cs="Arial"/>
                      <w:color w:val="000000"/>
                      <w:sz w:val="20"/>
                      <w:szCs w:val="20"/>
                    </w:rPr>
                  </w:pPr>
                </w:p>
              </w:tc>
              <w:tc>
                <w:tcPr>
                  <w:tcW w:w="1040" w:type="dxa"/>
                  <w:tcBorders>
                    <w:top w:val="nil"/>
                    <w:left w:val="nil"/>
                    <w:bottom w:val="single" w:sz="4" w:space="0" w:color="auto"/>
                    <w:right w:val="single" w:sz="4" w:space="0" w:color="auto"/>
                  </w:tcBorders>
                  <w:noWrap/>
                  <w:vAlign w:val="center"/>
                  <w:hideMark/>
                </w:tcPr>
                <w:p w:rsidR="00A74973" w:rsidRDefault="00A74973">
                  <w:pPr>
                    <w:jc w:val="center"/>
                    <w:rPr>
                      <w:rFonts w:ascii="Arial" w:eastAsia="Times New Roman" w:hAnsi="Arial" w:cs="Arial"/>
                      <w:color w:val="000000"/>
                      <w:sz w:val="20"/>
                      <w:szCs w:val="20"/>
                    </w:rPr>
                  </w:pPr>
                  <w:r>
                    <w:rPr>
                      <w:rFonts w:ascii="Arial" w:eastAsia="Times New Roman" w:hAnsi="Arial" w:cs="Arial"/>
                      <w:color w:val="000000"/>
                      <w:sz w:val="20"/>
                      <w:szCs w:val="20"/>
                    </w:rPr>
                    <w:t>63.90</w:t>
                  </w:r>
                </w:p>
              </w:tc>
              <w:tc>
                <w:tcPr>
                  <w:tcW w:w="1060" w:type="dxa"/>
                  <w:tcBorders>
                    <w:top w:val="nil"/>
                    <w:left w:val="nil"/>
                    <w:bottom w:val="single" w:sz="4" w:space="0" w:color="auto"/>
                    <w:right w:val="single" w:sz="4" w:space="0" w:color="auto"/>
                  </w:tcBorders>
                  <w:noWrap/>
                  <w:vAlign w:val="center"/>
                  <w:hideMark/>
                </w:tcPr>
                <w:p w:rsidR="00A74973" w:rsidRDefault="00A74973">
                  <w:pPr>
                    <w:jc w:val="center"/>
                    <w:rPr>
                      <w:rFonts w:ascii="Arial" w:eastAsia="Times New Roman" w:hAnsi="Arial" w:cs="Arial"/>
                      <w:color w:val="000000"/>
                      <w:sz w:val="20"/>
                      <w:szCs w:val="20"/>
                    </w:rPr>
                  </w:pPr>
                  <w:r>
                    <w:rPr>
                      <w:rFonts w:ascii="Arial" w:eastAsia="Times New Roman" w:hAnsi="Arial" w:cs="Arial"/>
                      <w:color w:val="000000"/>
                      <w:sz w:val="20"/>
                      <w:szCs w:val="20"/>
                    </w:rPr>
                    <w:t>64.60</w:t>
                  </w:r>
                </w:p>
              </w:tc>
              <w:tc>
                <w:tcPr>
                  <w:tcW w:w="960" w:type="dxa"/>
                  <w:tcBorders>
                    <w:top w:val="nil"/>
                    <w:left w:val="nil"/>
                    <w:bottom w:val="single" w:sz="4" w:space="0" w:color="auto"/>
                    <w:right w:val="single" w:sz="4" w:space="0" w:color="auto"/>
                  </w:tcBorders>
                  <w:noWrap/>
                  <w:vAlign w:val="center"/>
                  <w:hideMark/>
                </w:tcPr>
                <w:p w:rsidR="00A74973" w:rsidRDefault="00A74973">
                  <w:pPr>
                    <w:jc w:val="center"/>
                    <w:rPr>
                      <w:rFonts w:ascii="Arial" w:eastAsia="Times New Roman" w:hAnsi="Arial" w:cs="Arial"/>
                      <w:color w:val="000000"/>
                      <w:sz w:val="20"/>
                      <w:szCs w:val="20"/>
                    </w:rPr>
                  </w:pPr>
                  <w:r>
                    <w:rPr>
                      <w:rFonts w:ascii="Arial" w:eastAsia="Times New Roman" w:hAnsi="Arial" w:cs="Arial"/>
                      <w:color w:val="000000"/>
                      <w:sz w:val="20"/>
                      <w:szCs w:val="20"/>
                    </w:rPr>
                    <w:t>60.89</w:t>
                  </w:r>
                </w:p>
              </w:tc>
              <w:tc>
                <w:tcPr>
                  <w:tcW w:w="2480" w:type="dxa"/>
                  <w:tcBorders>
                    <w:top w:val="nil"/>
                    <w:left w:val="nil"/>
                    <w:bottom w:val="single" w:sz="4" w:space="0" w:color="auto"/>
                    <w:right w:val="single" w:sz="4" w:space="0" w:color="auto"/>
                  </w:tcBorders>
                  <w:shd w:val="clear" w:color="auto" w:fill="F2F2F2"/>
                  <w:noWrap/>
                  <w:vAlign w:val="center"/>
                  <w:hideMark/>
                </w:tcPr>
                <w:p w:rsidR="00A74973" w:rsidRDefault="00A74973">
                  <w:pPr>
                    <w:rPr>
                      <w:rFonts w:ascii="Arial" w:eastAsia="Times New Roman" w:hAnsi="Arial" w:cs="Arial"/>
                      <w:color w:val="000000"/>
                      <w:sz w:val="20"/>
                      <w:szCs w:val="20"/>
                    </w:rPr>
                  </w:pPr>
                  <w:r>
                    <w:rPr>
                      <w:rFonts w:ascii="Arial" w:eastAsia="Times New Roman" w:hAnsi="Arial" w:cs="Arial"/>
                      <w:color w:val="000000"/>
                      <w:sz w:val="20"/>
                      <w:szCs w:val="20"/>
                    </w:rPr>
                    <w:t>Below vwap of yr</w:t>
                  </w:r>
                </w:p>
              </w:tc>
            </w:tr>
            <w:tr w:rsidR="00A74973" w:rsidTr="00A74973">
              <w:trPr>
                <w:trHeight w:val="300"/>
              </w:trPr>
              <w:tc>
                <w:tcPr>
                  <w:tcW w:w="1180" w:type="dxa"/>
                  <w:tcBorders>
                    <w:top w:val="nil"/>
                    <w:left w:val="single" w:sz="4" w:space="0" w:color="auto"/>
                    <w:bottom w:val="single" w:sz="4" w:space="0" w:color="auto"/>
                    <w:right w:val="single" w:sz="4" w:space="0" w:color="auto"/>
                  </w:tcBorders>
                  <w:noWrap/>
                  <w:vAlign w:val="center"/>
                </w:tcPr>
                <w:p w:rsidR="00A74973" w:rsidRDefault="00A74973">
                  <w:pPr>
                    <w:jc w:val="center"/>
                    <w:rPr>
                      <w:rFonts w:ascii="Arial" w:eastAsia="Times New Roman" w:hAnsi="Arial" w:cs="Arial"/>
                      <w:color w:val="000000"/>
                      <w:sz w:val="20"/>
                      <w:szCs w:val="20"/>
                    </w:rPr>
                  </w:pPr>
                </w:p>
              </w:tc>
              <w:tc>
                <w:tcPr>
                  <w:tcW w:w="1900" w:type="dxa"/>
                  <w:tcBorders>
                    <w:top w:val="nil"/>
                    <w:left w:val="nil"/>
                    <w:bottom w:val="single" w:sz="4" w:space="0" w:color="auto"/>
                    <w:right w:val="single" w:sz="4" w:space="0" w:color="auto"/>
                  </w:tcBorders>
                  <w:noWrap/>
                  <w:vAlign w:val="center"/>
                  <w:hideMark/>
                </w:tcPr>
                <w:p w:rsidR="00A74973" w:rsidRDefault="00A74973">
                  <w:pPr>
                    <w:jc w:val="center"/>
                    <w:rPr>
                      <w:rFonts w:ascii="Arial" w:eastAsia="Times New Roman" w:hAnsi="Arial" w:cs="Arial"/>
                      <w:color w:val="000000"/>
                      <w:sz w:val="20"/>
                      <w:szCs w:val="20"/>
                    </w:rPr>
                  </w:pPr>
                  <w:r>
                    <w:rPr>
                      <w:rFonts w:ascii="Arial" w:eastAsia="Times New Roman" w:hAnsi="Arial" w:cs="Arial"/>
                      <w:color w:val="000000"/>
                      <w:sz w:val="20"/>
                      <w:szCs w:val="20"/>
                    </w:rPr>
                    <w:t>ESH</w:t>
                  </w:r>
                </w:p>
              </w:tc>
              <w:tc>
                <w:tcPr>
                  <w:tcW w:w="1180" w:type="dxa"/>
                  <w:tcBorders>
                    <w:top w:val="nil"/>
                    <w:left w:val="nil"/>
                    <w:bottom w:val="single" w:sz="4" w:space="0" w:color="auto"/>
                    <w:right w:val="single" w:sz="4" w:space="0" w:color="auto"/>
                  </w:tcBorders>
                  <w:noWrap/>
                  <w:vAlign w:val="center"/>
                </w:tcPr>
                <w:p w:rsidR="00A74973" w:rsidRDefault="00A74973">
                  <w:pPr>
                    <w:jc w:val="center"/>
                    <w:rPr>
                      <w:rFonts w:ascii="Arial" w:eastAsia="Times New Roman" w:hAnsi="Arial" w:cs="Arial"/>
                      <w:color w:val="000000"/>
                      <w:sz w:val="20"/>
                      <w:szCs w:val="20"/>
                    </w:rPr>
                  </w:pPr>
                </w:p>
              </w:tc>
              <w:tc>
                <w:tcPr>
                  <w:tcW w:w="1040" w:type="dxa"/>
                  <w:tcBorders>
                    <w:top w:val="nil"/>
                    <w:left w:val="nil"/>
                    <w:bottom w:val="single" w:sz="4" w:space="0" w:color="auto"/>
                    <w:right w:val="single" w:sz="4" w:space="0" w:color="auto"/>
                  </w:tcBorders>
                  <w:noWrap/>
                  <w:vAlign w:val="center"/>
                  <w:hideMark/>
                </w:tcPr>
                <w:p w:rsidR="00A74973" w:rsidRDefault="00A74973">
                  <w:pPr>
                    <w:jc w:val="center"/>
                    <w:rPr>
                      <w:rFonts w:ascii="Arial" w:eastAsia="Times New Roman" w:hAnsi="Arial" w:cs="Arial"/>
                      <w:color w:val="000000"/>
                      <w:sz w:val="20"/>
                      <w:szCs w:val="20"/>
                    </w:rPr>
                  </w:pPr>
                  <w:r>
                    <w:rPr>
                      <w:rFonts w:ascii="Arial" w:eastAsia="Times New Roman" w:hAnsi="Arial" w:cs="Arial"/>
                      <w:color w:val="000000"/>
                      <w:sz w:val="20"/>
                      <w:szCs w:val="20"/>
                    </w:rPr>
                    <w:t>&lt;2573</w:t>
                  </w:r>
                </w:p>
              </w:tc>
              <w:tc>
                <w:tcPr>
                  <w:tcW w:w="1060" w:type="dxa"/>
                  <w:tcBorders>
                    <w:top w:val="nil"/>
                    <w:left w:val="nil"/>
                    <w:bottom w:val="single" w:sz="4" w:space="0" w:color="auto"/>
                    <w:right w:val="single" w:sz="4" w:space="0" w:color="auto"/>
                  </w:tcBorders>
                  <w:noWrap/>
                  <w:vAlign w:val="center"/>
                </w:tcPr>
                <w:p w:rsidR="00A74973" w:rsidRDefault="00A74973">
                  <w:pPr>
                    <w:jc w:val="center"/>
                    <w:rPr>
                      <w:rFonts w:ascii="Arial" w:eastAsia="Times New Roman" w:hAnsi="Arial" w:cs="Arial"/>
                      <w:color w:val="000000"/>
                      <w:sz w:val="20"/>
                      <w:szCs w:val="20"/>
                    </w:rPr>
                  </w:pPr>
                </w:p>
              </w:tc>
              <w:tc>
                <w:tcPr>
                  <w:tcW w:w="960" w:type="dxa"/>
                  <w:tcBorders>
                    <w:top w:val="nil"/>
                    <w:left w:val="nil"/>
                    <w:bottom w:val="single" w:sz="4" w:space="0" w:color="auto"/>
                    <w:right w:val="single" w:sz="4" w:space="0" w:color="auto"/>
                  </w:tcBorders>
                  <w:noWrap/>
                  <w:vAlign w:val="center"/>
                  <w:hideMark/>
                </w:tcPr>
                <w:p w:rsidR="00A74973" w:rsidRDefault="00A74973">
                  <w:pPr>
                    <w:jc w:val="center"/>
                    <w:rPr>
                      <w:rFonts w:ascii="Arial" w:eastAsia="Times New Roman" w:hAnsi="Arial" w:cs="Arial"/>
                      <w:color w:val="000000"/>
                      <w:sz w:val="20"/>
                      <w:szCs w:val="20"/>
                    </w:rPr>
                  </w:pPr>
                  <w:r>
                    <w:rPr>
                      <w:rFonts w:ascii="Arial" w:eastAsia="Times New Roman" w:hAnsi="Arial" w:cs="Arial"/>
                      <w:color w:val="000000"/>
                      <w:sz w:val="20"/>
                      <w:szCs w:val="20"/>
                    </w:rPr>
                    <w:t>2531</w:t>
                  </w:r>
                </w:p>
              </w:tc>
              <w:tc>
                <w:tcPr>
                  <w:tcW w:w="2480" w:type="dxa"/>
                  <w:tcBorders>
                    <w:top w:val="nil"/>
                    <w:left w:val="nil"/>
                    <w:bottom w:val="single" w:sz="4" w:space="0" w:color="auto"/>
                    <w:right w:val="single" w:sz="4" w:space="0" w:color="auto"/>
                  </w:tcBorders>
                  <w:shd w:val="clear" w:color="auto" w:fill="F2F2F2"/>
                  <w:noWrap/>
                  <w:vAlign w:val="center"/>
                  <w:hideMark/>
                </w:tcPr>
                <w:p w:rsidR="00A74973" w:rsidRDefault="00A74973">
                  <w:pPr>
                    <w:rPr>
                      <w:rFonts w:ascii="Arial" w:eastAsia="Times New Roman" w:hAnsi="Arial" w:cs="Arial"/>
                      <w:color w:val="000000"/>
                      <w:sz w:val="20"/>
                      <w:szCs w:val="20"/>
                    </w:rPr>
                  </w:pPr>
                  <w:r>
                    <w:rPr>
                      <w:rFonts w:ascii="Arial" w:eastAsia="Times New Roman" w:hAnsi="Arial" w:cs="Arial"/>
                      <w:color w:val="000000"/>
                      <w:sz w:val="20"/>
                      <w:szCs w:val="20"/>
                    </w:rPr>
                    <w:t xml:space="preserve">200dma is key </w:t>
                  </w:r>
                </w:p>
              </w:tc>
            </w:tr>
          </w:tbl>
          <w:p w:rsidR="00A74973" w:rsidRDefault="00A74973" w:rsidP="00A74973">
            <w:pPr>
              <w:spacing w:before="100" w:beforeAutospacing="1" w:after="100" w:afterAutospacing="1" w:line="276" w:lineRule="auto"/>
              <w:rPr>
                <w:rFonts w:ascii="Arial" w:hAnsi="Arial" w:cs="Arial"/>
                <w:color w:val="3B3838"/>
                <w:sz w:val="20"/>
                <w:szCs w:val="20"/>
              </w:rPr>
            </w:pPr>
            <w:r>
              <w:rPr>
                <w:rFonts w:ascii="Arial" w:hAnsi="Arial" w:cs="Arial"/>
                <w:b/>
                <w:bCs/>
                <w:color w:val="3B3838"/>
              </w:rPr>
              <w:t>DATA and HIGHLIGHTS:</w:t>
            </w:r>
            <w:r>
              <w:rPr>
                <w:rFonts w:ascii="Arial" w:hAnsi="Arial" w:cs="Arial"/>
                <w:color w:val="3B3838"/>
                <w:sz w:val="20"/>
                <w:szCs w:val="20"/>
              </w:rPr>
              <w:t>  8:30 ET International Trade; 8:50ET Bullard speaks;  10:00ET JOLTS;  1:00ET 3 Yr Note Auction</w:t>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1851025</wp:posOffset>
                      </wp:positionH>
                      <wp:positionV relativeFrom="paragraph">
                        <wp:posOffset>-626745</wp:posOffset>
                      </wp:positionV>
                      <wp:extent cx="4316730" cy="1286510"/>
                      <wp:effectExtent l="0" t="0" r="26670" b="2794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6730" cy="1286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4973" w:rsidRDefault="00A74973" w:rsidP="00A74973">
                                  <w:pPr>
                                    <w:rPr>
                                      <w:rFonts w:ascii="Arial" w:hAnsi="Arial" w:cstheme="minorBidi"/>
                                      <w:color w:val="000099"/>
                                      <w:sz w:val="22"/>
                                      <w:szCs w:val="22"/>
                                    </w:rPr>
                                  </w:pPr>
                                  <w:r>
                                    <w:rPr>
                                      <w:rFonts w:ascii="Arial" w:hAnsi="Arial" w:cstheme="minorBidi"/>
                                      <w:color w:val="000099"/>
                                      <w:sz w:val="22"/>
                                      <w:szCs w:val="22"/>
                                    </w:rPr>
                                    <w:t>XIV -90% overnight;</w:t>
                                  </w:r>
                                  <w:r>
                                    <w:t xml:space="preserve"> </w:t>
                                  </w:r>
                                  <w:r>
                                    <w:rPr>
                                      <w:rFonts w:ascii="Arial" w:hAnsi="Arial" w:cstheme="minorBidi"/>
                                      <w:color w:val="000099"/>
                                      <w:sz w:val="22"/>
                                      <w:szCs w:val="22"/>
                                    </w:rPr>
                                    <w:t xml:space="preserve">the threshold for an XIV termination event is a -80% drop. Credit Suisse said late Monday New York time that the XIV's plunge would have no "material impact" on the bank itself </w:t>
                                  </w:r>
                                  <w:hyperlink r:id="rId7" w:history="1">
                                    <w:r>
                                      <w:rPr>
                                        <w:rStyle w:val="Hyperlink"/>
                                        <w:rFonts w:ascii="Arial" w:hAnsi="Arial" w:cstheme="minorBidi"/>
                                        <w:sz w:val="22"/>
                                        <w:szCs w:val="22"/>
                                      </w:rPr>
                                      <w:t>LINK</w:t>
                                    </w:r>
                                  </w:hyperlink>
                                  <w:r>
                                    <w:rPr>
                                      <w:rFonts w:ascii="Arial" w:hAnsi="Arial" w:cstheme="minorBidi"/>
                                      <w:color w:val="000099"/>
                                      <w:sz w:val="22"/>
                                      <w:szCs w:val="22"/>
                                    </w:rPr>
                                    <w:t xml:space="preserve">.  NYSE ARCA HALTS PROSHARES SHORT VIX SHORT-TERM FUTURES ETF. CS says they had no trading loss from XIV.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145.75pt;margin-top:-49.35pt;width:339.9pt;height:10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" fillcolor="white [3201]" strokeweight=".5pt">
                      <v:path arrowok="t"/>
                      <v:textbox>
                        <w:txbxContent>
                          <w:p w:rsidR="00A74973" w:rsidRDefault="00A74973" w:rsidP="00A74973">
                            <w:pPr>
                              <w:rPr>
                                <w:rFonts w:ascii="Arial" w:hAnsi="Arial" w:cstheme="minorBidi"/>
                                <w:color w:val="000099"/>
                                <w:sz w:val="22"/>
                                <w:szCs w:val="22"/>
                              </w:rPr>
                            </w:pPr>
                            <w:r>
                              <w:rPr>
                                <w:rFonts w:ascii="Arial" w:hAnsi="Arial" w:cstheme="minorBidi"/>
                                <w:color w:val="000099"/>
                                <w:sz w:val="22"/>
                                <w:szCs w:val="22"/>
                              </w:rPr>
                              <w:t>XIV -90% overnight;</w:t>
                            </w:r>
                            <w:r>
                              <w:t xml:space="preserve"> </w:t>
                            </w:r>
                            <w:r>
                              <w:rPr>
                                <w:rFonts w:ascii="Arial" w:hAnsi="Arial" w:cstheme="minorBidi"/>
                                <w:color w:val="000099"/>
                                <w:sz w:val="22"/>
                                <w:szCs w:val="22"/>
                              </w:rPr>
                              <w:t xml:space="preserve">the threshold for an XIV termination event is a -80% drop. Credit Suisse said late Monday New York time that the XIV's plunge would have no "material impact" on the bank itself </w:t>
                            </w:r>
                            <w:hyperlink r:id="rId8" w:history="1">
                              <w:r>
                                <w:rPr>
                                  <w:rStyle w:val="Hyperlink"/>
                                  <w:rFonts w:ascii="Arial" w:hAnsi="Arial" w:cstheme="minorBidi"/>
                                  <w:sz w:val="22"/>
                                  <w:szCs w:val="22"/>
                                </w:rPr>
                                <w:t>LINK</w:t>
                              </w:r>
                            </w:hyperlink>
                            <w:r>
                              <w:rPr>
                                <w:rFonts w:ascii="Arial" w:hAnsi="Arial" w:cstheme="minorBidi"/>
                                <w:color w:val="000099"/>
                                <w:sz w:val="22"/>
                                <w:szCs w:val="22"/>
                              </w:rPr>
                              <w:t xml:space="preserve">.  NYSE ARCA HALTS PROSHARES SHORT VIX SHORT-TERM FUTURES ETF. CS says they had no trading loss from XIV. </w:t>
                            </w:r>
                          </w:p>
                        </w:txbxContent>
                      </v:textbox>
                      <w10:wrap type="square"/>
                    </v:shape>
                  </w:pict>
                </mc:Fallback>
              </mc:AlternateContent>
            </w:r>
            <w:r>
              <w:rPr>
                <w:noProof/>
              </w:rPr>
              <w:drawing>
                <wp:inline distT="0" distB="0" distL="0" distR="0">
                  <wp:extent cx="1704975" cy="13525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1352550"/>
                          </a:xfrm>
                          <a:prstGeom prst="rect">
                            <a:avLst/>
                          </a:prstGeom>
                          <a:noFill/>
                          <a:ln>
                            <a:noFill/>
                          </a:ln>
                        </pic:spPr>
                      </pic:pic>
                    </a:graphicData>
                  </a:graphic>
                </wp:inline>
              </w:drawing>
            </w:r>
          </w:p>
          <w:tbl>
            <w:tblPr>
              <w:tblW w:w="9795" w:type="dxa"/>
              <w:tblCellMar>
                <w:left w:w="0" w:type="dxa"/>
                <w:right w:w="0" w:type="dxa"/>
              </w:tblCellMar>
              <w:tblLook w:val="04A0" w:firstRow="1" w:lastRow="0" w:firstColumn="1" w:lastColumn="0" w:noHBand="0" w:noVBand="1"/>
            </w:tblPr>
            <w:tblGrid>
              <w:gridCol w:w="1528"/>
              <w:gridCol w:w="1607"/>
              <w:gridCol w:w="1620"/>
              <w:gridCol w:w="1710"/>
              <w:gridCol w:w="1710"/>
              <w:gridCol w:w="1620"/>
            </w:tblGrid>
            <w:tr w:rsidR="00A74973" w:rsidTr="00A74973">
              <w:trPr>
                <w:trHeight w:val="257"/>
              </w:trPr>
              <w:tc>
                <w:tcPr>
                  <w:tcW w:w="15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4973" w:rsidRDefault="00A74973">
                  <w:pPr>
                    <w:rPr>
                      <w:rFonts w:eastAsia="Times New Roman"/>
                      <w:sz w:val="20"/>
                      <w:szCs w:val="20"/>
                    </w:rPr>
                  </w:pPr>
                </w:p>
              </w:tc>
              <w:tc>
                <w:tcPr>
                  <w:tcW w:w="16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color w:val="3B3838"/>
                      <w:sz w:val="20"/>
                      <w:szCs w:val="20"/>
                    </w:rPr>
                  </w:pPr>
                  <w:r>
                    <w:rPr>
                      <w:rFonts w:ascii="Arial" w:hAnsi="Arial" w:cs="Arial"/>
                      <w:color w:val="3B3838"/>
                      <w:sz w:val="20"/>
                      <w:szCs w:val="20"/>
                    </w:rPr>
                    <w:t>ESH8</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color w:val="3B3838"/>
                      <w:sz w:val="20"/>
                      <w:szCs w:val="20"/>
                    </w:rPr>
                  </w:pPr>
                  <w:r>
                    <w:rPr>
                      <w:rFonts w:ascii="Arial" w:hAnsi="Arial" w:cs="Arial"/>
                      <w:color w:val="3B3838"/>
                      <w:sz w:val="20"/>
                      <w:szCs w:val="20"/>
                    </w:rPr>
                    <w:t>TYH8</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color w:val="3B3838"/>
                      <w:sz w:val="20"/>
                      <w:szCs w:val="20"/>
                    </w:rPr>
                  </w:pPr>
                  <w:r>
                    <w:rPr>
                      <w:rFonts w:ascii="Arial" w:hAnsi="Arial" w:cs="Arial"/>
                      <w:color w:val="3B3838"/>
                      <w:sz w:val="20"/>
                      <w:szCs w:val="20"/>
                    </w:rPr>
                    <w:t>GCJ8</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color w:val="3B3838"/>
                      <w:sz w:val="20"/>
                      <w:szCs w:val="20"/>
                    </w:rPr>
                  </w:pPr>
                  <w:r>
                    <w:rPr>
                      <w:rFonts w:ascii="Arial" w:hAnsi="Arial" w:cs="Arial"/>
                      <w:color w:val="3B3838"/>
                      <w:sz w:val="20"/>
                      <w:szCs w:val="20"/>
                    </w:rPr>
                    <w:t>CLH8</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color w:val="3B3838"/>
                      <w:sz w:val="20"/>
                      <w:szCs w:val="20"/>
                    </w:rPr>
                  </w:pPr>
                  <w:r>
                    <w:rPr>
                      <w:rFonts w:ascii="Arial" w:hAnsi="Arial" w:cs="Arial"/>
                      <w:color w:val="3B3838"/>
                      <w:sz w:val="20"/>
                      <w:szCs w:val="20"/>
                    </w:rPr>
                    <w:t>DXH8</w:t>
                  </w:r>
                </w:p>
              </w:tc>
            </w:tr>
            <w:tr w:rsidR="00A74973" w:rsidTr="00A74973">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Resistance</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2703.75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b/>
                      <w:sz w:val="20"/>
                      <w:szCs w:val="20"/>
                    </w:rPr>
                  </w:pPr>
                  <w:r>
                    <w:rPr>
                      <w:rFonts w:ascii="Arial" w:hAnsi="Arial" w:cs="Arial"/>
                      <w:b/>
                      <w:color w:val="009900"/>
                      <w:sz w:val="20"/>
                      <w:szCs w:val="20"/>
                    </w:rPr>
                    <w:t>123-21+</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jc w:val="center"/>
                    <w:rPr>
                      <w:rFonts w:ascii="Arial" w:hAnsi="Arial" w:cs="Arial"/>
                      <w:sz w:val="20"/>
                      <w:szCs w:val="20"/>
                    </w:rPr>
                  </w:pPr>
                  <w:r>
                    <w:rPr>
                      <w:rFonts w:ascii="Arial" w:hAnsi="Arial" w:cs="Arial"/>
                      <w:sz w:val="20"/>
                      <w:szCs w:val="20"/>
                    </w:rPr>
                    <w:t>1380/81*</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67.75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92.320</w:t>
                  </w:r>
                </w:p>
              </w:tc>
            </w:tr>
            <w:tr w:rsidR="00A74973" w:rsidTr="00A74973">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74973" w:rsidRDefault="00A74973">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2663/68</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123-08+*</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jc w:val="center"/>
                    <w:rPr>
                      <w:rFonts w:ascii="Arial" w:hAnsi="Arial" w:cs="Arial"/>
                      <w:sz w:val="20"/>
                      <w:szCs w:val="20"/>
                    </w:rPr>
                  </w:pPr>
                  <w:r>
                    <w:rPr>
                      <w:rFonts w:ascii="Arial" w:hAnsi="Arial" w:cs="Arial"/>
                      <w:sz w:val="20"/>
                      <w:szCs w:val="20"/>
                    </w:rPr>
                    <w:t>1370.5</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66.89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91.650</w:t>
                  </w:r>
                </w:p>
              </w:tc>
            </w:tr>
            <w:tr w:rsidR="00A74973" w:rsidTr="00A74973">
              <w:trPr>
                <w:trHeight w:val="264"/>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74973" w:rsidRDefault="00A74973">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2646.00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122-23+</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jc w:val="center"/>
                    <w:rPr>
                      <w:rFonts w:ascii="Arial" w:hAnsi="Arial" w:cs="Arial"/>
                      <w:sz w:val="20"/>
                      <w:szCs w:val="20"/>
                    </w:rPr>
                  </w:pPr>
                  <w:r>
                    <w:rPr>
                      <w:rFonts w:ascii="Arial" w:hAnsi="Arial" w:cs="Arial"/>
                      <w:sz w:val="20"/>
                      <w:szCs w:val="20"/>
                    </w:rPr>
                    <w:t>1362.0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66.46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90.740*</w:t>
                  </w:r>
                </w:p>
              </w:tc>
            </w:tr>
            <w:tr w:rsidR="00A74973" w:rsidTr="00A74973">
              <w:trPr>
                <w:trHeight w:val="273"/>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74973" w:rsidRDefault="00A74973">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b/>
                      <w:sz w:val="20"/>
                      <w:szCs w:val="20"/>
                    </w:rPr>
                  </w:pPr>
                  <w:r>
                    <w:rPr>
                      <w:rFonts w:ascii="Arial" w:hAnsi="Arial" w:cs="Arial"/>
                      <w:b/>
                      <w:color w:val="C00000"/>
                      <w:sz w:val="20"/>
                      <w:szCs w:val="20"/>
                    </w:rPr>
                    <w:t>2634/36*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122-12vwap</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jc w:val="center"/>
                    <w:rPr>
                      <w:rFonts w:ascii="Arial" w:hAnsi="Arial" w:cs="Arial"/>
                      <w:sz w:val="20"/>
                      <w:szCs w:val="20"/>
                    </w:rPr>
                  </w:pPr>
                  <w:r>
                    <w:rPr>
                      <w:rFonts w:ascii="Arial" w:hAnsi="Arial" w:cs="Arial"/>
                      <w:sz w:val="20"/>
                      <w:szCs w:val="20"/>
                    </w:rPr>
                    <w:t>1355.0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65.37</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90.000</w:t>
                  </w:r>
                </w:p>
              </w:tc>
            </w:tr>
            <w:tr w:rsidR="00A74973" w:rsidTr="00A74973">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74973" w:rsidRDefault="00A74973">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2626.00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121-18</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jc w:val="center"/>
                    <w:rPr>
                      <w:rFonts w:ascii="Arial" w:hAnsi="Arial" w:cs="Arial"/>
                      <w:sz w:val="20"/>
                      <w:szCs w:val="20"/>
                    </w:rPr>
                  </w:pPr>
                  <w:r>
                    <w:rPr>
                      <w:rFonts w:ascii="Arial" w:hAnsi="Arial" w:cs="Arial"/>
                      <w:sz w:val="20"/>
                      <w:szCs w:val="20"/>
                    </w:rPr>
                    <w:t>1345.5</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64.58</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89.560</w:t>
                  </w:r>
                </w:p>
              </w:tc>
            </w:tr>
            <w:tr w:rsidR="00A74973" w:rsidTr="00A74973">
              <w:trPr>
                <w:trHeight w:val="257"/>
              </w:trPr>
              <w:tc>
                <w:tcPr>
                  <w:tcW w:w="1528"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rsidR="00A74973" w:rsidRDefault="00A74973">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Settlement</w:t>
                  </w:r>
                </w:p>
              </w:tc>
              <w:tc>
                <w:tcPr>
                  <w:tcW w:w="1607"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rsidR="00A74973" w:rsidRDefault="00A74973">
                  <w:pPr>
                    <w:jc w:val="center"/>
                    <w:rPr>
                      <w:rFonts w:ascii="Arial" w:hAnsi="Arial" w:cs="Arial"/>
                      <w:sz w:val="20"/>
                      <w:szCs w:val="20"/>
                    </w:rPr>
                  </w:pPr>
                  <w:r>
                    <w:rPr>
                      <w:rFonts w:ascii="Arial" w:hAnsi="Arial" w:cs="Arial"/>
                      <w:sz w:val="20"/>
                      <w:szCs w:val="20"/>
                    </w:rPr>
                    <w:t>2607.75</w:t>
                  </w:r>
                </w:p>
              </w:tc>
              <w:tc>
                <w:tcPr>
                  <w:tcW w:w="162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rsidR="00A74973" w:rsidRDefault="00A74973">
                  <w:pPr>
                    <w:jc w:val="center"/>
                    <w:rPr>
                      <w:rFonts w:ascii="Arial" w:hAnsi="Arial" w:cs="Arial"/>
                      <w:sz w:val="20"/>
                      <w:szCs w:val="20"/>
                    </w:rPr>
                  </w:pPr>
                  <w:r>
                    <w:rPr>
                      <w:rFonts w:ascii="Arial" w:hAnsi="Arial" w:cs="Arial"/>
                      <w:sz w:val="20"/>
                      <w:szCs w:val="20"/>
                    </w:rPr>
                    <w:t>121-08+</w:t>
                  </w:r>
                </w:p>
              </w:tc>
              <w:tc>
                <w:tcPr>
                  <w:tcW w:w="17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rsidR="00A74973" w:rsidRDefault="00A74973">
                  <w:pPr>
                    <w:jc w:val="center"/>
                    <w:rPr>
                      <w:rFonts w:ascii="Arial" w:hAnsi="Arial" w:cs="Arial"/>
                      <w:sz w:val="20"/>
                      <w:szCs w:val="20"/>
                    </w:rPr>
                  </w:pPr>
                  <w:r>
                    <w:rPr>
                      <w:rFonts w:ascii="Arial" w:hAnsi="Arial" w:cs="Arial"/>
                      <w:sz w:val="20"/>
                      <w:szCs w:val="20"/>
                    </w:rPr>
                    <w:t>1336.5</w:t>
                  </w:r>
                </w:p>
              </w:tc>
              <w:tc>
                <w:tcPr>
                  <w:tcW w:w="17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rsidR="00A74973" w:rsidRDefault="00A74973">
                  <w:pPr>
                    <w:jc w:val="center"/>
                    <w:rPr>
                      <w:rFonts w:ascii="Arial" w:hAnsi="Arial" w:cs="Arial"/>
                      <w:sz w:val="20"/>
                      <w:szCs w:val="20"/>
                    </w:rPr>
                  </w:pPr>
                  <w:r>
                    <w:rPr>
                      <w:rFonts w:ascii="Arial" w:hAnsi="Arial" w:cs="Arial"/>
                      <w:sz w:val="20"/>
                      <w:szCs w:val="20"/>
                    </w:rPr>
                    <w:t>64.15</w:t>
                  </w:r>
                </w:p>
              </w:tc>
              <w:tc>
                <w:tcPr>
                  <w:tcW w:w="162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rsidR="00A74973" w:rsidRDefault="00A74973">
                  <w:pPr>
                    <w:jc w:val="center"/>
                    <w:rPr>
                      <w:rFonts w:ascii="Arial" w:hAnsi="Arial" w:cs="Arial"/>
                      <w:sz w:val="20"/>
                      <w:szCs w:val="20"/>
                    </w:rPr>
                  </w:pPr>
                  <w:r>
                    <w:rPr>
                      <w:rFonts w:ascii="Arial" w:hAnsi="Arial" w:cs="Arial"/>
                      <w:sz w:val="20"/>
                      <w:szCs w:val="20"/>
                    </w:rPr>
                    <w:t>89.405</w:t>
                  </w:r>
                </w:p>
              </w:tc>
            </w:tr>
            <w:tr w:rsidR="00A74973" w:rsidTr="00A74973">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74973" w:rsidRDefault="00A74973">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2595.00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bCs/>
                      <w:sz w:val="20"/>
                      <w:szCs w:val="20"/>
                    </w:rPr>
                  </w:pPr>
                  <w:r>
                    <w:rPr>
                      <w:rFonts w:ascii="Arial" w:hAnsi="Arial" w:cs="Arial"/>
                      <w:bCs/>
                      <w:sz w:val="20"/>
                      <w:szCs w:val="20"/>
                    </w:rPr>
                    <w:t>121-06+</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1330.0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63.93close</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88.250</w:t>
                  </w:r>
                </w:p>
              </w:tc>
            </w:tr>
            <w:tr w:rsidR="00A74973" w:rsidTr="00A74973">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74973" w:rsidRDefault="00A74973">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2573.00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bCs/>
                      <w:sz w:val="20"/>
                      <w:szCs w:val="20"/>
                    </w:rPr>
                  </w:pPr>
                  <w:r>
                    <w:rPr>
                      <w:rFonts w:ascii="Arial" w:hAnsi="Arial" w:cs="Arial"/>
                      <w:bCs/>
                      <w:sz w:val="20"/>
                      <w:szCs w:val="20"/>
                    </w:rPr>
                    <w:t>120-28</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1321.5*</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63.29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88.000</w:t>
                  </w:r>
                </w:p>
              </w:tc>
            </w:tr>
            <w:tr w:rsidR="00A74973" w:rsidTr="00A74973">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74973" w:rsidRDefault="00A74973">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2553.75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bCs/>
                      <w:sz w:val="20"/>
                      <w:szCs w:val="20"/>
                    </w:rPr>
                  </w:pPr>
                  <w:r>
                    <w:rPr>
                      <w:rFonts w:ascii="Arial" w:hAnsi="Arial" w:cs="Arial"/>
                      <w:bCs/>
                      <w:sz w:val="20"/>
                      <w:szCs w:val="20"/>
                    </w:rPr>
                    <w:t>120-18</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1306.6</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62.55/65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87.100</w:t>
                  </w:r>
                </w:p>
              </w:tc>
            </w:tr>
            <w:tr w:rsidR="00A74973" w:rsidTr="00A74973">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74973" w:rsidRDefault="00A74973">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b/>
                      <w:color w:val="008000"/>
                      <w:sz w:val="20"/>
                      <w:szCs w:val="20"/>
                    </w:rPr>
                  </w:pPr>
                  <w:r>
                    <w:rPr>
                      <w:rFonts w:ascii="Arial" w:hAnsi="Arial" w:cs="Arial"/>
                      <w:b/>
                      <w:color w:val="008000"/>
                      <w:sz w:val="20"/>
                      <w:szCs w:val="20"/>
                    </w:rPr>
                    <w:t>2531.00*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bCs/>
                      <w:sz w:val="20"/>
                      <w:szCs w:val="20"/>
                    </w:rPr>
                  </w:pPr>
                  <w:r>
                    <w:rPr>
                      <w:rFonts w:ascii="Arial" w:hAnsi="Arial" w:cs="Arial"/>
                      <w:bCs/>
                      <w:sz w:val="20"/>
                      <w:szCs w:val="20"/>
                    </w:rPr>
                    <w:t>119-28*</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1300.0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61.54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86.870</w:t>
                  </w:r>
                </w:p>
              </w:tc>
            </w:tr>
            <w:tr w:rsidR="00A74973" w:rsidTr="00A74973">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Support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2500.00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bCs/>
                      <w:sz w:val="20"/>
                      <w:szCs w:val="20"/>
                    </w:rPr>
                  </w:pPr>
                  <w:r>
                    <w:rPr>
                      <w:rFonts w:ascii="Arial" w:hAnsi="Arial" w:cs="Arial"/>
                      <w:bCs/>
                      <w:sz w:val="20"/>
                      <w:szCs w:val="20"/>
                    </w:rPr>
                    <w:t>119-10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1291.0*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b/>
                      <w:color w:val="0000FF"/>
                      <w:sz w:val="20"/>
                      <w:szCs w:val="20"/>
                    </w:rPr>
                  </w:pPr>
                  <w:r>
                    <w:rPr>
                      <w:rFonts w:ascii="Arial" w:hAnsi="Arial" w:cs="Arial"/>
                      <w:b/>
                      <w:color w:val="0000FF"/>
                      <w:sz w:val="20"/>
                      <w:szCs w:val="20"/>
                    </w:rPr>
                    <w:t>60.89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4973" w:rsidRDefault="00A74973">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84.680*</w:t>
                  </w:r>
                </w:p>
              </w:tc>
            </w:tr>
          </w:tbl>
          <w:p w:rsidR="00A74973" w:rsidRDefault="00A74973" w:rsidP="00A74973">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Colors within the report: </w:t>
            </w:r>
            <w:r>
              <w:rPr>
                <w:rFonts w:ascii="Arial" w:hAnsi="Arial" w:cs="Arial"/>
                <w:b/>
                <w:bCs/>
                <w:color w:val="009900"/>
                <w:sz w:val="20"/>
                <w:szCs w:val="20"/>
              </w:rPr>
              <w:t>Green</w:t>
            </w:r>
            <w:r>
              <w:rPr>
                <w:rFonts w:ascii="Arial" w:hAnsi="Arial" w:cs="Arial"/>
                <w:color w:val="3B3838"/>
                <w:sz w:val="20"/>
                <w:szCs w:val="20"/>
              </w:rPr>
              <w:t xml:space="preserve"> is always the 200 period (day, week, etc.). </w:t>
            </w:r>
            <w:r>
              <w:rPr>
                <w:rFonts w:ascii="Arial" w:hAnsi="Arial" w:cs="Arial"/>
                <w:b/>
                <w:bCs/>
                <w:color w:val="FF0000"/>
                <w:sz w:val="20"/>
                <w:szCs w:val="20"/>
              </w:rPr>
              <w:t>Red</w:t>
            </w:r>
            <w:r>
              <w:rPr>
                <w:rFonts w:ascii="Arial" w:hAnsi="Arial" w:cs="Arial"/>
                <w:color w:val="3B3838"/>
                <w:sz w:val="20"/>
                <w:szCs w:val="20"/>
              </w:rPr>
              <w:t xml:space="preserve"> is always 21, </w:t>
            </w:r>
            <w:r>
              <w:rPr>
                <w:rFonts w:ascii="Arial" w:hAnsi="Arial" w:cs="Arial"/>
                <w:b/>
                <w:bCs/>
                <w:color w:val="0033CC"/>
                <w:sz w:val="20"/>
                <w:szCs w:val="20"/>
              </w:rPr>
              <w:t>Blue</w:t>
            </w:r>
            <w:r>
              <w:rPr>
                <w:rFonts w:ascii="Arial" w:hAnsi="Arial" w:cs="Arial"/>
                <w:color w:val="3B3838"/>
                <w:sz w:val="20"/>
                <w:szCs w:val="20"/>
              </w:rPr>
              <w:t xml:space="preserve"> = 50, </w:t>
            </w:r>
            <w:r>
              <w:rPr>
                <w:rFonts w:ascii="Arial" w:hAnsi="Arial" w:cs="Arial"/>
                <w:b/>
                <w:bCs/>
                <w:color w:val="C00000"/>
                <w:sz w:val="20"/>
                <w:szCs w:val="20"/>
              </w:rPr>
              <w:t>Brown</w:t>
            </w:r>
            <w:r>
              <w:rPr>
                <w:rFonts w:ascii="Arial" w:hAnsi="Arial" w:cs="Arial"/>
                <w:color w:val="3B3838"/>
                <w:sz w:val="20"/>
                <w:szCs w:val="20"/>
              </w:rPr>
              <w:t xml:space="preserve"> = 100,</w:t>
            </w:r>
            <w:proofErr w:type="gramStart"/>
            <w:r>
              <w:rPr>
                <w:rFonts w:ascii="Arial" w:hAnsi="Arial" w:cs="Arial"/>
                <w:color w:val="3B3838"/>
                <w:sz w:val="20"/>
                <w:szCs w:val="20"/>
              </w:rPr>
              <w:t xml:space="preserve">  </w:t>
            </w:r>
            <w:r>
              <w:rPr>
                <w:rFonts w:ascii="Arial" w:hAnsi="Arial" w:cs="Arial"/>
                <w:b/>
                <w:bCs/>
                <w:color w:val="BF9000"/>
                <w:sz w:val="20"/>
                <w:szCs w:val="20"/>
              </w:rPr>
              <w:t>Yellow</w:t>
            </w:r>
            <w:proofErr w:type="gramEnd"/>
            <w:r>
              <w:rPr>
                <w:rFonts w:ascii="Arial" w:hAnsi="Arial" w:cs="Arial"/>
                <w:color w:val="3B3838"/>
                <w:sz w:val="20"/>
                <w:szCs w:val="20"/>
              </w:rPr>
              <w:t xml:space="preserve"> is vwap.  *Stars have more emphasis, meaning 2 or more technical pts line up</w:t>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rFonts w:ascii="Arial" w:hAnsi="Arial" w:cs="Arial"/>
                <w:b/>
                <w:bCs/>
                <w:color w:val="3B3838"/>
              </w:rPr>
              <w:t xml:space="preserve">EQUITIES: </w:t>
            </w:r>
            <w:r>
              <w:rPr>
                <w:rFonts w:ascii="Arial" w:hAnsi="Arial" w:cs="Arial"/>
                <w:color w:val="3B3838"/>
                <w:sz w:val="20"/>
                <w:szCs w:val="20"/>
              </w:rPr>
              <w:t xml:space="preserve">   Dow Jones Industrials Average saw its biggest point move ever falling almost 1,600 points intraday.  </w:t>
            </w:r>
            <w:r w:rsidR="004A627B">
              <w:rPr>
                <w:rFonts w:ascii="Arial" w:hAnsi="Arial" w:cs="Arial"/>
                <w:color w:val="3B3838"/>
                <w:sz w:val="20"/>
                <w:szCs w:val="20"/>
              </w:rPr>
              <w:t xml:space="preserve"> </w:t>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This has been our concern for a derailment of equities.  The passive investment strategy using 30 yr bond and ES broke the trend channel (more on this in Tactical section below)</w:t>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extent cx="6286500" cy="279082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0" cy="2790825"/>
                          </a:xfrm>
                          <a:prstGeom prst="rect">
                            <a:avLst/>
                          </a:prstGeom>
                          <a:noFill/>
                          <a:ln>
                            <a:noFill/>
                          </a:ln>
                        </pic:spPr>
                      </pic:pic>
                    </a:graphicData>
                  </a:graphic>
                </wp:inline>
              </w:drawing>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ESH8: falls -12.14% from its high and hits the 200dma overnight. The 100dma at 2635 area will be the initial key resistance area during the day session (see SPX) </w:t>
            </w:r>
          </w:p>
          <w:p w:rsidR="00A74973" w:rsidRDefault="00A74973" w:rsidP="00A74973">
            <w:pPr>
              <w:autoSpaceDE w:val="0"/>
              <w:autoSpaceDN w:val="0"/>
              <w:spacing w:before="100" w:beforeAutospacing="1" w:after="100" w:afterAutospacing="1"/>
              <w:rPr>
                <w:noProof/>
              </w:rPr>
            </w:pPr>
            <w:r>
              <w:rPr>
                <w:noProof/>
              </w:rPr>
              <w:drawing>
                <wp:inline distT="0" distB="0" distL="0" distR="0">
                  <wp:extent cx="6267450" cy="27908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7450" cy="2790825"/>
                          </a:xfrm>
                          <a:prstGeom prst="rect">
                            <a:avLst/>
                          </a:prstGeom>
                          <a:noFill/>
                          <a:ln>
                            <a:noFill/>
                          </a:ln>
                        </pic:spPr>
                      </pic:pic>
                    </a:graphicData>
                  </a:graphic>
                </wp:inline>
              </w:drawing>
            </w:r>
          </w:p>
          <w:p w:rsidR="00A74973" w:rsidRDefault="00A74973" w:rsidP="00A74973">
            <w:pPr>
              <w:autoSpaceDE w:val="0"/>
              <w:autoSpaceDN w:val="0"/>
              <w:spacing w:before="100" w:beforeAutospacing="1" w:after="100" w:afterAutospacing="1"/>
              <w:rPr>
                <w:noProof/>
              </w:rPr>
            </w:pPr>
            <w:r>
              <w:rPr>
                <w:noProof/>
              </w:rPr>
              <w:drawing>
                <wp:inline distT="0" distB="0" distL="0" distR="0">
                  <wp:extent cx="6267450" cy="28289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7450" cy="2828925"/>
                          </a:xfrm>
                          <a:prstGeom prst="rect">
                            <a:avLst/>
                          </a:prstGeom>
                          <a:noFill/>
                          <a:ln>
                            <a:noFill/>
                          </a:ln>
                        </pic:spPr>
                      </pic:pic>
                    </a:graphicData>
                  </a:graphic>
                </wp:inline>
              </w:drawing>
            </w:r>
          </w:p>
          <w:p w:rsidR="00A74973" w:rsidRDefault="00A74973" w:rsidP="00A74973">
            <w:pPr>
              <w:autoSpaceDE w:val="0"/>
              <w:autoSpaceDN w:val="0"/>
              <w:spacing w:before="100" w:beforeAutospacing="1" w:after="100" w:afterAutospacing="1"/>
              <w:rPr>
                <w:rFonts w:ascii="Arial" w:hAnsi="Arial" w:cs="Arial"/>
                <w:noProof/>
                <w:sz w:val="20"/>
                <w:szCs w:val="20"/>
              </w:rPr>
            </w:pPr>
            <w:r>
              <w:rPr>
                <w:rFonts w:ascii="Arial" w:hAnsi="Arial" w:cs="Arial"/>
                <w:noProof/>
                <w:sz w:val="20"/>
                <w:szCs w:val="20"/>
              </w:rPr>
              <w:t>SPX has its 100dma at 2633 and we will use that level as initial key (resistance today).  The 200dma in SPX is 2533* which held as pivotal support in November 2016.  This will be the major focus to start today</w:t>
            </w:r>
          </w:p>
          <w:p w:rsidR="00A74973" w:rsidRDefault="00A74973" w:rsidP="00A74973">
            <w:pPr>
              <w:autoSpaceDE w:val="0"/>
              <w:autoSpaceDN w:val="0"/>
              <w:spacing w:before="100" w:beforeAutospacing="1" w:after="100" w:afterAutospacing="1"/>
              <w:rPr>
                <w:noProof/>
              </w:rPr>
            </w:pPr>
            <w:r>
              <w:rPr>
                <w:noProof/>
              </w:rPr>
              <w:drawing>
                <wp:inline distT="0" distB="0" distL="0" distR="0">
                  <wp:extent cx="6200775" cy="27432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0775" cy="2743200"/>
                          </a:xfrm>
                          <a:prstGeom prst="rect">
                            <a:avLst/>
                          </a:prstGeom>
                          <a:noFill/>
                          <a:ln>
                            <a:noFill/>
                          </a:ln>
                        </pic:spPr>
                      </pic:pic>
                    </a:graphicData>
                  </a:graphic>
                </wp:inline>
              </w:drawing>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VIX nearing the 2015 high   - XIV down -84% overnight; there is a ‘termination’ trigger in XIV that permits the underwriter, in this case Credit Suisse, to liquidate the fund in order to prevent a negative equity situation. </w:t>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extent cx="6257925" cy="28194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57925" cy="2819400"/>
                          </a:xfrm>
                          <a:prstGeom prst="rect">
                            <a:avLst/>
                          </a:prstGeom>
                          <a:noFill/>
                          <a:ln>
                            <a:noFill/>
                          </a:ln>
                        </pic:spPr>
                      </pic:pic>
                    </a:graphicData>
                  </a:graphic>
                </wp:inline>
              </w:drawing>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XIV overnight price action (chart via MarketWatch.com)</w:t>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extent cx="6000750" cy="18573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0" cy="1857375"/>
                          </a:xfrm>
                          <a:prstGeom prst="rect">
                            <a:avLst/>
                          </a:prstGeom>
                          <a:noFill/>
                          <a:ln>
                            <a:noFill/>
                          </a:ln>
                        </pic:spPr>
                      </pic:pic>
                    </a:graphicData>
                  </a:graphic>
                </wp:inline>
              </w:drawing>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NQH traded below its 100dma overnight, which had held as pivotal support a few times in 2017. </w:t>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extent cx="6267450" cy="28289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67450" cy="2828925"/>
                          </a:xfrm>
                          <a:prstGeom prst="rect">
                            <a:avLst/>
                          </a:prstGeom>
                          <a:noFill/>
                          <a:ln>
                            <a:noFill/>
                          </a:ln>
                        </pic:spPr>
                      </pic:pic>
                    </a:graphicData>
                  </a:graphic>
                </wp:inline>
              </w:drawing>
            </w:r>
          </w:p>
          <w:p w:rsidR="00A74973" w:rsidRDefault="00A74973" w:rsidP="00A74973">
            <w:pPr>
              <w:autoSpaceDE w:val="0"/>
              <w:autoSpaceDN w:val="0"/>
              <w:spacing w:before="100" w:beforeAutospacing="1" w:after="100" w:afterAutospacing="1"/>
              <w:rPr>
                <w:rFonts w:ascii="Arial" w:hAnsi="Arial" w:cs="Arial"/>
                <w:noProof/>
                <w:sz w:val="20"/>
                <w:szCs w:val="20"/>
              </w:rPr>
            </w:pPr>
            <w:r>
              <w:rPr>
                <w:rFonts w:ascii="Arial" w:hAnsi="Arial" w:cs="Arial"/>
                <w:noProof/>
                <w:sz w:val="20"/>
                <w:szCs w:val="20"/>
              </w:rPr>
              <w:t xml:space="preserve">The 100dma in QQQ held on several touches in 2017 is at 154.62 and has some room before that is tested.  </w:t>
            </w:r>
          </w:p>
          <w:p w:rsidR="00A74973" w:rsidRDefault="00A74973" w:rsidP="00A74973">
            <w:pPr>
              <w:autoSpaceDE w:val="0"/>
              <w:autoSpaceDN w:val="0"/>
              <w:spacing w:before="100" w:beforeAutospacing="1" w:after="100" w:afterAutospacing="1"/>
              <w:rPr>
                <w:noProof/>
              </w:rPr>
            </w:pPr>
            <w:r>
              <w:rPr>
                <w:noProof/>
              </w:rPr>
              <w:drawing>
                <wp:inline distT="0" distB="0" distL="0" distR="0">
                  <wp:extent cx="6267450" cy="2971800"/>
                  <wp:effectExtent l="0" t="0" r="0" b="0"/>
                  <wp:docPr id="33" name="Picture 33" descr="cid:image024.png@01D39EC3.F915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24.png@01D39EC3.F915E7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67450" cy="2971800"/>
                          </a:xfrm>
                          <a:prstGeom prst="rect">
                            <a:avLst/>
                          </a:prstGeom>
                          <a:noFill/>
                          <a:ln>
                            <a:noFill/>
                          </a:ln>
                        </pic:spPr>
                      </pic:pic>
                    </a:graphicData>
                  </a:graphic>
                </wp:inline>
              </w:drawing>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March Russell 2000 has 1406.50 as next key </w:t>
            </w:r>
            <w:proofErr w:type="gramStart"/>
            <w:r>
              <w:rPr>
                <w:rFonts w:ascii="Arial" w:hAnsi="Arial" w:cs="Arial"/>
                <w:color w:val="3B3838"/>
                <w:sz w:val="20"/>
                <w:szCs w:val="20"/>
              </w:rPr>
              <w:t>support .</w:t>
            </w:r>
            <w:proofErr w:type="gramEnd"/>
            <w:r>
              <w:rPr>
                <w:rFonts w:ascii="Arial" w:hAnsi="Arial" w:cs="Arial"/>
                <w:color w:val="3B3838"/>
                <w:sz w:val="20"/>
                <w:szCs w:val="20"/>
              </w:rPr>
              <w:t xml:space="preserve">  IWM settled on its 200dma and will see momentum today below it. 135 is the .382 retrace from the 2016 low. </w:t>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extent cx="6276975" cy="28194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76975" cy="2819400"/>
                          </a:xfrm>
                          <a:prstGeom prst="rect">
                            <a:avLst/>
                          </a:prstGeom>
                          <a:noFill/>
                          <a:ln>
                            <a:noFill/>
                          </a:ln>
                        </pic:spPr>
                      </pic:pic>
                    </a:graphicData>
                  </a:graphic>
                </wp:inline>
              </w:drawing>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extent cx="6276975" cy="24955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76975" cy="2495550"/>
                          </a:xfrm>
                          <a:prstGeom prst="rect">
                            <a:avLst/>
                          </a:prstGeom>
                          <a:noFill/>
                          <a:ln>
                            <a:noFill/>
                          </a:ln>
                        </pic:spPr>
                      </pic:pic>
                    </a:graphicData>
                  </a:graphic>
                </wp:inline>
              </w:drawing>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DAX future is holding a negative tone below its 200dma which has been a very good closing pivotal pt. March Eurostoxx has 3298 as long term .382 retrace and next key support. </w:t>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extent cx="6267450" cy="26765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67450" cy="2676525"/>
                          </a:xfrm>
                          <a:prstGeom prst="rect">
                            <a:avLst/>
                          </a:prstGeom>
                          <a:noFill/>
                          <a:ln>
                            <a:noFill/>
                          </a:ln>
                        </pic:spPr>
                      </pic:pic>
                    </a:graphicData>
                  </a:graphic>
                </wp:inline>
              </w:drawing>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Emerging Markets – MME has 1150 (100dma) as its closing key support </w:t>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extent cx="6276975" cy="28194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76975" cy="2819400"/>
                          </a:xfrm>
                          <a:prstGeom prst="rect">
                            <a:avLst/>
                          </a:prstGeom>
                          <a:noFill/>
                          <a:ln>
                            <a:noFill/>
                          </a:ln>
                        </pic:spPr>
                      </pic:pic>
                    </a:graphicData>
                  </a:graphic>
                </wp:inline>
              </w:drawing>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The Shanghai Composite breaks its 50dma which has been a good short term closing key. Next stop is a retest of the 200dma which held on multiple tests in December. </w:t>
            </w:r>
          </w:p>
          <w:p w:rsidR="00A74973" w:rsidRDefault="00A74973" w:rsidP="00A74973">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extent cx="6276975" cy="28289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76975" cy="2828925"/>
                          </a:xfrm>
                          <a:prstGeom prst="rect">
                            <a:avLst/>
                          </a:prstGeom>
                          <a:noFill/>
                          <a:ln>
                            <a:noFill/>
                          </a:ln>
                        </pic:spPr>
                      </pic:pic>
                    </a:graphicData>
                  </a:graphic>
                </wp:inline>
              </w:drawing>
            </w:r>
          </w:p>
          <w:p w:rsidR="001C0736" w:rsidRDefault="001C0736" w:rsidP="001C0736">
            <w:pPr>
              <w:autoSpaceDE w:val="0"/>
              <w:autoSpaceDN w:val="0"/>
              <w:spacing w:before="100" w:beforeAutospacing="1" w:after="100" w:afterAutospacing="1"/>
              <w:jc w:val="center"/>
              <w:rPr>
                <w:rFonts w:ascii="Arial" w:hAnsi="Arial" w:cs="Arial"/>
                <w:color w:val="3B3838"/>
                <w:sz w:val="20"/>
                <w:szCs w:val="20"/>
              </w:rPr>
            </w:pPr>
            <w:r>
              <w:rPr>
                <w:rFonts w:ascii="Arial" w:hAnsi="Arial" w:cs="Arial"/>
                <w:b/>
                <w:bCs/>
                <w:color w:val="3B3838"/>
              </w:rPr>
              <w:t>TACTICAL ALLOCATION: RELATIVE VALUE/STRENGTH</w:t>
            </w:r>
          </w:p>
          <w:p w:rsidR="001C0736" w:rsidRDefault="001C0736" w:rsidP="001C0736">
            <w:pPr>
              <w:autoSpaceDE w:val="0"/>
              <w:autoSpaceDN w:val="0"/>
              <w:spacing w:before="100" w:beforeAutospacing="1" w:after="100" w:afterAutospacing="1"/>
              <w:jc w:val="center"/>
              <w:rPr>
                <w:rFonts w:ascii="Arial" w:hAnsi="Arial" w:cs="Arial"/>
                <w:color w:val="3B3838"/>
                <w:sz w:val="20"/>
                <w:szCs w:val="20"/>
              </w:rPr>
            </w:pPr>
            <w:r>
              <w:rPr>
                <w:noProof/>
              </w:rPr>
              <w:drawing>
                <wp:inline distT="0" distB="0" distL="0" distR="0" wp14:anchorId="10F173E7" wp14:editId="19F811BA">
                  <wp:extent cx="4762500" cy="16192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0" cy="1619250"/>
                          </a:xfrm>
                          <a:prstGeom prst="rect">
                            <a:avLst/>
                          </a:prstGeom>
                          <a:noFill/>
                          <a:ln>
                            <a:noFill/>
                          </a:ln>
                        </pic:spPr>
                      </pic:pic>
                    </a:graphicData>
                  </a:graphic>
                </wp:inline>
              </w:drawing>
            </w:r>
          </w:p>
          <w:p w:rsidR="001C0736" w:rsidRDefault="001C0736" w:rsidP="001C0736">
            <w:pPr>
              <w:autoSpaceDE w:val="0"/>
              <w:autoSpaceDN w:val="0"/>
              <w:spacing w:before="100" w:beforeAutospacing="1" w:after="100" w:afterAutospacing="1" w:line="276" w:lineRule="auto"/>
              <w:rPr>
                <w:rFonts w:ascii="Arial" w:hAnsi="Arial" w:cs="Arial"/>
                <w:color w:val="3B3838"/>
                <w:sz w:val="20"/>
                <w:szCs w:val="20"/>
              </w:rPr>
            </w:pPr>
            <w:r>
              <w:rPr>
                <w:rFonts w:ascii="Arial" w:hAnsi="Arial" w:cs="Arial"/>
                <w:color w:val="3B3838"/>
                <w:sz w:val="20"/>
                <w:szCs w:val="20"/>
              </w:rPr>
              <w:t xml:space="preserve">This is the relative strength, </w:t>
            </w:r>
            <w:proofErr w:type="gramStart"/>
            <w:r>
              <w:rPr>
                <w:rFonts w:ascii="Arial" w:hAnsi="Arial" w:cs="Arial"/>
                <w:color w:val="3B3838"/>
                <w:sz w:val="20"/>
                <w:szCs w:val="20"/>
              </w:rPr>
              <w:t>pairs</w:t>
            </w:r>
            <w:proofErr w:type="gramEnd"/>
            <w:r>
              <w:rPr>
                <w:rFonts w:ascii="Arial" w:hAnsi="Arial" w:cs="Arial"/>
                <w:color w:val="3B3838"/>
                <w:sz w:val="20"/>
                <w:szCs w:val="20"/>
              </w:rPr>
              <w:t xml:space="preserve"> trade section.  Many times looking at a certain commodity relative to another can give you a perspective that you just cannot get looking at the individual.  Even if you don’t trade pairs, looking at your market this way can be valuable.  The above reads vertical column relative to horizontal. ES turning negative relative to the other asset classes.   </w:t>
            </w:r>
          </w:p>
          <w:p w:rsidR="001C0736" w:rsidRDefault="001C0736" w:rsidP="001C0736">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USH8/ESH8: long bond outperforming this week and back above the 50dma and trend line. Positive above this level for now with a test of the .786 likely.  </w:t>
            </w:r>
          </w:p>
          <w:p w:rsidR="001C0736" w:rsidRDefault="001C0736" w:rsidP="001C0736">
            <w:pPr>
              <w:autoSpaceDE w:val="0"/>
              <w:autoSpaceDN w:val="0"/>
              <w:spacing w:before="100" w:beforeAutospacing="1" w:after="100" w:afterAutospacing="1"/>
              <w:rPr>
                <w:rFonts w:ascii="Arial" w:hAnsi="Arial" w:cs="Arial"/>
                <w:sz w:val="20"/>
                <w:szCs w:val="20"/>
              </w:rPr>
            </w:pPr>
            <w:r>
              <w:rPr>
                <w:noProof/>
              </w:rPr>
              <w:drawing>
                <wp:inline distT="0" distB="0" distL="0" distR="0" wp14:anchorId="5CCCD7DF" wp14:editId="398274E8">
                  <wp:extent cx="6257925" cy="31146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57925" cy="3114675"/>
                          </a:xfrm>
                          <a:prstGeom prst="rect">
                            <a:avLst/>
                          </a:prstGeom>
                          <a:noFill/>
                          <a:ln>
                            <a:noFill/>
                          </a:ln>
                        </pic:spPr>
                      </pic:pic>
                    </a:graphicData>
                  </a:graphic>
                </wp:inline>
              </w:drawing>
            </w:r>
          </w:p>
          <w:p w:rsidR="001C0736" w:rsidRDefault="001C0736" w:rsidP="001C0736">
            <w:pPr>
              <w:autoSpaceDE w:val="0"/>
              <w:autoSpaceDN w:val="0"/>
              <w:spacing w:before="100" w:beforeAutospacing="1" w:after="100" w:afterAutospacing="1"/>
              <w:rPr>
                <w:rFonts w:ascii="Arial" w:hAnsi="Arial" w:cs="Arial"/>
                <w:sz w:val="20"/>
                <w:szCs w:val="20"/>
              </w:rPr>
            </w:pPr>
            <w:r>
              <w:rPr>
                <w:rFonts w:ascii="Arial" w:hAnsi="Arial" w:cs="Arial"/>
                <w:b/>
                <w:sz w:val="20"/>
                <w:szCs w:val="20"/>
              </w:rPr>
              <w:t>This is what we were concerned</w:t>
            </w:r>
            <w:r>
              <w:rPr>
                <w:rFonts w:ascii="Arial" w:hAnsi="Arial" w:cs="Arial"/>
                <w:sz w:val="20"/>
                <w:szCs w:val="20"/>
              </w:rPr>
              <w:t xml:space="preserve"> about; the passive investment </w:t>
            </w:r>
            <w:proofErr w:type="gramStart"/>
            <w:r>
              <w:rPr>
                <w:rFonts w:ascii="Arial" w:hAnsi="Arial" w:cs="Arial"/>
                <w:sz w:val="20"/>
                <w:szCs w:val="20"/>
              </w:rPr>
              <w:t>strategy unwind</w:t>
            </w:r>
            <w:proofErr w:type="gramEnd"/>
            <w:r>
              <w:rPr>
                <w:rFonts w:ascii="Arial" w:hAnsi="Arial" w:cs="Arial"/>
                <w:sz w:val="20"/>
                <w:szCs w:val="20"/>
              </w:rPr>
              <w:t>.  Long both, 10 year future and ES breaks the year plus long trend line yesterday. The weekly trend line in TLT+SPY will be the next key and major support</w:t>
            </w:r>
          </w:p>
          <w:p w:rsidR="001C0736" w:rsidRDefault="001C0736" w:rsidP="001C0736">
            <w:pPr>
              <w:autoSpaceDE w:val="0"/>
              <w:autoSpaceDN w:val="0"/>
              <w:spacing w:before="100" w:beforeAutospacing="1" w:after="100" w:afterAutospacing="1"/>
              <w:rPr>
                <w:rFonts w:ascii="Arial" w:hAnsi="Arial" w:cs="Arial"/>
                <w:sz w:val="20"/>
                <w:szCs w:val="20"/>
              </w:rPr>
            </w:pPr>
            <w:r>
              <w:rPr>
                <w:noProof/>
              </w:rPr>
              <w:drawing>
                <wp:inline distT="0" distB="0" distL="0" distR="0" wp14:anchorId="5CCBBB86" wp14:editId="0EE5FC51">
                  <wp:extent cx="6286500" cy="2667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86500" cy="2667000"/>
                          </a:xfrm>
                          <a:prstGeom prst="rect">
                            <a:avLst/>
                          </a:prstGeom>
                          <a:noFill/>
                          <a:ln>
                            <a:noFill/>
                          </a:ln>
                        </pic:spPr>
                      </pic:pic>
                    </a:graphicData>
                  </a:graphic>
                </wp:inline>
              </w:drawing>
            </w:r>
          </w:p>
          <w:p w:rsidR="001C0736" w:rsidRDefault="001C0736" w:rsidP="001C0736">
            <w:pPr>
              <w:autoSpaceDE w:val="0"/>
              <w:autoSpaceDN w:val="0"/>
              <w:spacing w:before="100" w:beforeAutospacing="1" w:after="100" w:afterAutospacing="1"/>
              <w:rPr>
                <w:rFonts w:ascii="Arial" w:hAnsi="Arial" w:cs="Arial"/>
                <w:sz w:val="20"/>
                <w:szCs w:val="20"/>
              </w:rPr>
            </w:pPr>
            <w:r>
              <w:rPr>
                <w:noProof/>
              </w:rPr>
              <w:drawing>
                <wp:inline distT="0" distB="0" distL="0" distR="0" wp14:anchorId="280D73D6" wp14:editId="2721AC5D">
                  <wp:extent cx="6276975" cy="26384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76975" cy="2638425"/>
                          </a:xfrm>
                          <a:prstGeom prst="rect">
                            <a:avLst/>
                          </a:prstGeom>
                          <a:noFill/>
                          <a:ln>
                            <a:noFill/>
                          </a:ln>
                        </pic:spPr>
                      </pic:pic>
                    </a:graphicData>
                  </a:graphic>
                </wp:inline>
              </w:drawing>
            </w:r>
          </w:p>
          <w:p w:rsidR="001C0736" w:rsidRDefault="001C0736" w:rsidP="001C0736">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Copper relative to WTI is firming after holding pivotal support and we look for further outperformance from copper </w:t>
            </w:r>
          </w:p>
          <w:p w:rsidR="001C0736" w:rsidRDefault="001C0736" w:rsidP="001C0736">
            <w:pPr>
              <w:autoSpaceDE w:val="0"/>
              <w:autoSpaceDN w:val="0"/>
              <w:spacing w:before="100" w:beforeAutospacing="1" w:after="100" w:afterAutospacing="1"/>
              <w:rPr>
                <w:rFonts w:ascii="Arial" w:hAnsi="Arial" w:cs="Arial"/>
                <w:sz w:val="20"/>
                <w:szCs w:val="20"/>
              </w:rPr>
            </w:pPr>
            <w:r>
              <w:rPr>
                <w:noProof/>
              </w:rPr>
              <w:drawing>
                <wp:inline distT="0" distB="0" distL="0" distR="0" wp14:anchorId="51DE3A89" wp14:editId="55786FF0">
                  <wp:extent cx="6276975" cy="28289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76975" cy="2828925"/>
                          </a:xfrm>
                          <a:prstGeom prst="rect">
                            <a:avLst/>
                          </a:prstGeom>
                          <a:noFill/>
                          <a:ln>
                            <a:noFill/>
                          </a:ln>
                        </pic:spPr>
                      </pic:pic>
                    </a:graphicData>
                  </a:graphic>
                </wp:inline>
              </w:drawing>
            </w:r>
          </w:p>
          <w:p w:rsidR="001C0736" w:rsidRDefault="001C0736" w:rsidP="001C0736">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Gold vs ES: gained sharply relative to ES yesterday once above the trend line and tested the .786 retrace overnight before slipping back.  </w:t>
            </w:r>
          </w:p>
          <w:p w:rsidR="001C0736" w:rsidRDefault="001C0736" w:rsidP="001C0736">
            <w:pPr>
              <w:autoSpaceDE w:val="0"/>
              <w:autoSpaceDN w:val="0"/>
              <w:spacing w:before="100" w:beforeAutospacing="1" w:after="100" w:afterAutospacing="1"/>
              <w:rPr>
                <w:rFonts w:ascii="Arial" w:hAnsi="Arial" w:cs="Arial"/>
                <w:sz w:val="20"/>
                <w:szCs w:val="20"/>
              </w:rPr>
            </w:pPr>
            <w:r>
              <w:rPr>
                <w:noProof/>
              </w:rPr>
              <w:drawing>
                <wp:inline distT="0" distB="0" distL="0" distR="0" wp14:anchorId="086B1FAF" wp14:editId="10AB39B8">
                  <wp:extent cx="6286500" cy="29622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86500" cy="2962275"/>
                          </a:xfrm>
                          <a:prstGeom prst="rect">
                            <a:avLst/>
                          </a:prstGeom>
                          <a:noFill/>
                          <a:ln>
                            <a:noFill/>
                          </a:ln>
                        </pic:spPr>
                      </pic:pic>
                    </a:graphicData>
                  </a:graphic>
                </wp:inline>
              </w:drawing>
            </w:r>
          </w:p>
          <w:p w:rsidR="001C0736" w:rsidRDefault="001C0736" w:rsidP="001C0736">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Gold vs WTI starting to inch above the short term trend line as gold outperforms </w:t>
            </w:r>
          </w:p>
          <w:p w:rsidR="001C0736" w:rsidRDefault="001C0736" w:rsidP="001C0736">
            <w:pPr>
              <w:autoSpaceDE w:val="0"/>
              <w:autoSpaceDN w:val="0"/>
              <w:spacing w:before="100" w:beforeAutospacing="1" w:after="100" w:afterAutospacing="1"/>
              <w:rPr>
                <w:rFonts w:ascii="Arial" w:hAnsi="Arial" w:cs="Arial"/>
                <w:sz w:val="20"/>
                <w:szCs w:val="20"/>
              </w:rPr>
            </w:pPr>
            <w:r>
              <w:rPr>
                <w:noProof/>
              </w:rPr>
              <w:drawing>
                <wp:inline distT="0" distB="0" distL="0" distR="0" wp14:anchorId="13D203B7" wp14:editId="7AE53BF9">
                  <wp:extent cx="6248400" cy="26765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48400" cy="2676525"/>
                          </a:xfrm>
                          <a:prstGeom prst="rect">
                            <a:avLst/>
                          </a:prstGeom>
                          <a:noFill/>
                          <a:ln>
                            <a:noFill/>
                          </a:ln>
                        </pic:spPr>
                      </pic:pic>
                    </a:graphicData>
                  </a:graphic>
                </wp:inline>
              </w:drawing>
            </w:r>
          </w:p>
          <w:p w:rsidR="001C0736" w:rsidRDefault="001C0736" w:rsidP="001C0736">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WTI vs ES: crude oil remains positive relative to equities  </w:t>
            </w:r>
          </w:p>
          <w:p w:rsidR="001C0736" w:rsidRDefault="001C0736" w:rsidP="001C0736">
            <w:pPr>
              <w:autoSpaceDE w:val="0"/>
              <w:autoSpaceDN w:val="0"/>
              <w:spacing w:before="100" w:beforeAutospacing="1" w:after="100" w:afterAutospacing="1"/>
              <w:rPr>
                <w:rFonts w:ascii="Arial" w:hAnsi="Arial" w:cs="Arial"/>
                <w:sz w:val="20"/>
                <w:szCs w:val="20"/>
              </w:rPr>
            </w:pPr>
            <w:r>
              <w:rPr>
                <w:noProof/>
              </w:rPr>
              <w:drawing>
                <wp:inline distT="0" distB="0" distL="0" distR="0" wp14:anchorId="473ABE03" wp14:editId="33984AFD">
                  <wp:extent cx="6248400" cy="30003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48400" cy="3000375"/>
                          </a:xfrm>
                          <a:prstGeom prst="rect">
                            <a:avLst/>
                          </a:prstGeom>
                          <a:noFill/>
                          <a:ln>
                            <a:noFill/>
                          </a:ln>
                        </pic:spPr>
                      </pic:pic>
                    </a:graphicData>
                  </a:graphic>
                </wp:inline>
              </w:drawing>
            </w:r>
          </w:p>
          <w:p w:rsidR="00EC4320" w:rsidRDefault="00EC4320" w:rsidP="00EC4320">
            <w:pPr>
              <w:autoSpaceDE w:val="0"/>
              <w:autoSpaceDN w:val="0"/>
              <w:spacing w:before="100" w:beforeAutospacing="1" w:after="100" w:afterAutospacing="1"/>
              <w:rPr>
                <w:rFonts w:ascii="Arial" w:hAnsi="Arial" w:cs="Arial"/>
                <w:color w:val="3B3838"/>
                <w:sz w:val="20"/>
                <w:szCs w:val="20"/>
              </w:rPr>
            </w:pPr>
            <w:r>
              <w:rPr>
                <w:rFonts w:ascii="Arial" w:hAnsi="Arial" w:cs="Arial"/>
                <w:b/>
                <w:bCs/>
                <w:color w:val="3B3838"/>
              </w:rPr>
              <w:t xml:space="preserve">FIXED INCOME:  </w:t>
            </w:r>
            <w:r>
              <w:rPr>
                <w:rFonts w:ascii="Arial" w:hAnsi="Arial" w:cs="Arial"/>
                <w:color w:val="3B3838"/>
                <w:sz w:val="20"/>
                <w:szCs w:val="20"/>
              </w:rPr>
              <w:t> </w:t>
            </w:r>
            <w:r w:rsidRPr="00EC4320">
              <w:rPr>
                <w:rFonts w:ascii="Arial" w:hAnsi="Arial" w:cs="Arial"/>
                <w:color w:val="3B3838"/>
                <w:sz w:val="20"/>
                <w:szCs w:val="20"/>
              </w:rPr>
              <w:t>what would slow the pace of Fed rate hikes? A sharp sell-off in equities would be one</w:t>
            </w:r>
          </w:p>
          <w:p w:rsidR="00EC4320" w:rsidRDefault="00EC4320" w:rsidP="00EC4320">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TYH remains negative overall below its 200 week moving average.  Weekly RSI was depressed, similarly to December 2016 levels, </w:t>
            </w:r>
            <w:proofErr w:type="gramStart"/>
            <w:r>
              <w:rPr>
                <w:rFonts w:ascii="Arial" w:hAnsi="Arial" w:cs="Arial"/>
                <w:sz w:val="20"/>
                <w:szCs w:val="20"/>
              </w:rPr>
              <w:t>so</w:t>
            </w:r>
            <w:proofErr w:type="gramEnd"/>
            <w:r>
              <w:rPr>
                <w:rFonts w:ascii="Arial" w:hAnsi="Arial" w:cs="Arial"/>
                <w:sz w:val="20"/>
                <w:szCs w:val="20"/>
              </w:rPr>
              <w:t xml:space="preserve"> some pause in momentum was likely. </w:t>
            </w:r>
          </w:p>
          <w:p w:rsidR="00EC4320" w:rsidRDefault="00EC4320" w:rsidP="00EC4320">
            <w:pPr>
              <w:autoSpaceDE w:val="0"/>
              <w:autoSpaceDN w:val="0"/>
              <w:spacing w:before="100" w:beforeAutospacing="1" w:after="100" w:afterAutospacing="1"/>
              <w:rPr>
                <w:rFonts w:ascii="Arial" w:hAnsi="Arial" w:cs="Arial"/>
                <w:sz w:val="20"/>
                <w:szCs w:val="20"/>
              </w:rPr>
            </w:pPr>
            <w:r>
              <w:rPr>
                <w:noProof/>
              </w:rPr>
              <w:drawing>
                <wp:inline distT="0" distB="0" distL="0" distR="0" wp14:anchorId="748193D7" wp14:editId="2A118755">
                  <wp:extent cx="6276975" cy="29622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76975" cy="2962275"/>
                          </a:xfrm>
                          <a:prstGeom prst="rect">
                            <a:avLst/>
                          </a:prstGeom>
                          <a:noFill/>
                          <a:ln>
                            <a:noFill/>
                          </a:ln>
                        </pic:spPr>
                      </pic:pic>
                    </a:graphicData>
                  </a:graphic>
                </wp:inline>
              </w:drawing>
            </w:r>
          </w:p>
          <w:p w:rsidR="00EC4320" w:rsidRDefault="00EC4320" w:rsidP="00EC4320">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10 year yield is holding above the Dec ’16 high </w:t>
            </w:r>
          </w:p>
          <w:p w:rsidR="00EC4320" w:rsidRDefault="00EC4320" w:rsidP="00EC4320">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7D8194D4" wp14:editId="6F3777C2">
                  <wp:extent cx="6276975" cy="27813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76975" cy="2781300"/>
                          </a:xfrm>
                          <a:prstGeom prst="rect">
                            <a:avLst/>
                          </a:prstGeom>
                          <a:noFill/>
                          <a:ln>
                            <a:noFill/>
                          </a:ln>
                        </pic:spPr>
                      </pic:pic>
                    </a:graphicData>
                  </a:graphic>
                </wp:inline>
              </w:drawing>
            </w:r>
          </w:p>
          <w:p w:rsidR="00EC4320" w:rsidRDefault="00EC4320" w:rsidP="00EC4320">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USH8: traded just slightly above the 200 week moving average </w:t>
            </w:r>
            <w:proofErr w:type="gramStart"/>
            <w:r>
              <w:rPr>
                <w:rFonts w:ascii="Arial" w:hAnsi="Arial" w:cs="Arial"/>
                <w:color w:val="3B3838"/>
                <w:sz w:val="20"/>
                <w:szCs w:val="20"/>
              </w:rPr>
              <w:t>overnight,</w:t>
            </w:r>
            <w:proofErr w:type="gramEnd"/>
            <w:r>
              <w:rPr>
                <w:rFonts w:ascii="Arial" w:hAnsi="Arial" w:cs="Arial"/>
                <w:color w:val="3B3838"/>
                <w:sz w:val="20"/>
                <w:szCs w:val="20"/>
              </w:rPr>
              <w:t xml:space="preserve"> and we look for this area to hold as pivotal resistance. 145-25 is initial support with renewed downside momentum likely below it</w:t>
            </w:r>
          </w:p>
          <w:p w:rsidR="00EC4320" w:rsidRDefault="00EC4320" w:rsidP="00EC4320">
            <w:pPr>
              <w:autoSpaceDE w:val="0"/>
              <w:autoSpaceDN w:val="0"/>
              <w:spacing w:before="100" w:beforeAutospacing="1" w:after="100" w:afterAutospacing="1"/>
              <w:rPr>
                <w:rFonts w:ascii="Arial" w:hAnsi="Arial" w:cs="Arial"/>
                <w:sz w:val="20"/>
                <w:szCs w:val="20"/>
              </w:rPr>
            </w:pPr>
            <w:r>
              <w:rPr>
                <w:noProof/>
              </w:rPr>
              <w:drawing>
                <wp:inline distT="0" distB="0" distL="0" distR="0" wp14:anchorId="3DFA3926" wp14:editId="436F4165">
                  <wp:extent cx="6238875" cy="28194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38875" cy="2819400"/>
                          </a:xfrm>
                          <a:prstGeom prst="rect">
                            <a:avLst/>
                          </a:prstGeom>
                          <a:noFill/>
                          <a:ln>
                            <a:noFill/>
                          </a:ln>
                        </pic:spPr>
                      </pic:pic>
                    </a:graphicData>
                  </a:graphic>
                </wp:inline>
              </w:drawing>
            </w:r>
          </w:p>
          <w:p w:rsidR="00EC4320" w:rsidRDefault="00EC4320" w:rsidP="00EC4320">
            <w:pPr>
              <w:autoSpaceDE w:val="0"/>
              <w:autoSpaceDN w:val="0"/>
              <w:spacing w:before="100" w:beforeAutospacing="1" w:after="100" w:afterAutospacing="1"/>
              <w:rPr>
                <w:rFonts w:ascii="Arial" w:hAnsi="Arial" w:cs="Arial"/>
                <w:sz w:val="20"/>
                <w:szCs w:val="20"/>
              </w:rPr>
            </w:pPr>
            <w:r>
              <w:rPr>
                <w:rFonts w:ascii="Arial" w:hAnsi="Arial" w:cs="Arial"/>
                <w:sz w:val="20"/>
                <w:szCs w:val="20"/>
              </w:rPr>
              <w:t>2/10 yield curve has .745% as pivotal pt. Above this level we would look for 1%, then 1.365%*;  .675% is initial support</w:t>
            </w:r>
          </w:p>
          <w:p w:rsidR="00EC4320" w:rsidRDefault="00EC4320" w:rsidP="00EC4320">
            <w:pPr>
              <w:autoSpaceDE w:val="0"/>
              <w:autoSpaceDN w:val="0"/>
              <w:spacing w:before="100" w:beforeAutospacing="1" w:after="100" w:afterAutospacing="1"/>
              <w:rPr>
                <w:rFonts w:ascii="Arial" w:hAnsi="Arial" w:cs="Arial"/>
                <w:sz w:val="20"/>
                <w:szCs w:val="20"/>
              </w:rPr>
            </w:pPr>
            <w:r>
              <w:rPr>
                <w:noProof/>
              </w:rPr>
              <w:drawing>
                <wp:inline distT="0" distB="0" distL="0" distR="0" wp14:anchorId="1E2C8A53" wp14:editId="2DC34255">
                  <wp:extent cx="6276975" cy="27622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76975" cy="2762250"/>
                          </a:xfrm>
                          <a:prstGeom prst="rect">
                            <a:avLst/>
                          </a:prstGeom>
                          <a:noFill/>
                          <a:ln>
                            <a:noFill/>
                          </a:ln>
                        </pic:spPr>
                      </pic:pic>
                    </a:graphicData>
                  </a:graphic>
                </wp:inline>
              </w:drawing>
            </w:r>
          </w:p>
          <w:p w:rsidR="00DB5957" w:rsidRDefault="00DB5957" w:rsidP="00DB5957">
            <w:pPr>
              <w:autoSpaceDE w:val="0"/>
              <w:autoSpaceDN w:val="0"/>
              <w:spacing w:before="100" w:beforeAutospacing="1" w:after="100" w:afterAutospacing="1"/>
              <w:rPr>
                <w:rFonts w:ascii="Arial" w:hAnsi="Arial" w:cs="Arial"/>
                <w:color w:val="3B3838"/>
                <w:sz w:val="20"/>
                <w:szCs w:val="20"/>
              </w:rPr>
            </w:pPr>
            <w:r>
              <w:rPr>
                <w:rFonts w:ascii="Arial" w:hAnsi="Arial" w:cs="Arial"/>
                <w:b/>
                <w:bCs/>
                <w:color w:val="3B3838"/>
              </w:rPr>
              <w:t>ENERGY: </w:t>
            </w:r>
            <w:r>
              <w:rPr>
                <w:rFonts w:ascii="Arial" w:hAnsi="Arial" w:cs="Arial"/>
                <w:color w:val="3B3838"/>
                <w:sz w:val="20"/>
                <w:szCs w:val="20"/>
              </w:rPr>
              <w:t xml:space="preserve">  </w:t>
            </w:r>
          </w:p>
          <w:p w:rsidR="00DB5957" w:rsidRDefault="00DB5957" w:rsidP="00DB5957">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March Crude Oil: we were looking for the 200 month moving average to be an area of pause for WTI. Traded below the vwap of the year yesterday and will be short term negative with settles below it for now. 62.63 is the .618 retrace of the year. Could see a slip below here to test the 50dma at 60.89</w:t>
            </w:r>
          </w:p>
          <w:p w:rsidR="00DB5957" w:rsidRDefault="00DB5957" w:rsidP="00DB5957">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36D488DA" wp14:editId="1292E219">
                  <wp:extent cx="6257925" cy="27622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57925" cy="2762250"/>
                          </a:xfrm>
                          <a:prstGeom prst="rect">
                            <a:avLst/>
                          </a:prstGeom>
                          <a:noFill/>
                          <a:ln>
                            <a:noFill/>
                          </a:ln>
                        </pic:spPr>
                      </pic:pic>
                    </a:graphicData>
                  </a:graphic>
                </wp:inline>
              </w:drawing>
            </w:r>
          </w:p>
          <w:p w:rsidR="00DB5957" w:rsidRDefault="00DB5957" w:rsidP="00DB5957">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27F896D3" wp14:editId="06BEE9E8">
                  <wp:extent cx="6276975" cy="28384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76975" cy="2838450"/>
                          </a:xfrm>
                          <a:prstGeom prst="rect">
                            <a:avLst/>
                          </a:prstGeom>
                          <a:noFill/>
                          <a:ln>
                            <a:noFill/>
                          </a:ln>
                        </pic:spPr>
                      </pic:pic>
                    </a:graphicData>
                  </a:graphic>
                </wp:inline>
              </w:drawing>
            </w:r>
          </w:p>
          <w:p w:rsidR="00DB5957" w:rsidRDefault="00DB5957" w:rsidP="00DB5957">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Brent Crude is lower again and testing its .786 retrace of the year. </w:t>
            </w:r>
          </w:p>
          <w:p w:rsidR="00DB5957" w:rsidRDefault="00DB5957" w:rsidP="00DB5957">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6520272C" wp14:editId="1D8B9E2D">
                  <wp:extent cx="6286500" cy="29432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86500" cy="2943225"/>
                          </a:xfrm>
                          <a:prstGeom prst="rect">
                            <a:avLst/>
                          </a:prstGeom>
                          <a:noFill/>
                          <a:ln>
                            <a:noFill/>
                          </a:ln>
                        </pic:spPr>
                      </pic:pic>
                    </a:graphicData>
                  </a:graphic>
                </wp:inline>
              </w:drawing>
            </w:r>
          </w:p>
          <w:p w:rsidR="00DB5957" w:rsidRDefault="00DB5957" w:rsidP="00DB5957">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March RBOB has been underperforming crude oil and starting to roll over a bit after breaking the short term trend line. Negative below 1.8420 with next support at 1.7818 (s/t .618)</w:t>
            </w:r>
          </w:p>
          <w:p w:rsidR="00DB5957" w:rsidRDefault="00DB5957" w:rsidP="00DB5957">
            <w:pPr>
              <w:autoSpaceDE w:val="0"/>
              <w:autoSpaceDN w:val="0"/>
              <w:spacing w:before="100" w:beforeAutospacing="1" w:after="100" w:afterAutospacing="1"/>
              <w:rPr>
                <w:rFonts w:ascii="Calibri Light" w:hAnsi="Calibri Light" w:cs="Calibri Light"/>
                <w:color w:val="000099"/>
                <w:sz w:val="22"/>
                <w:szCs w:val="22"/>
              </w:rPr>
            </w:pPr>
            <w:r>
              <w:rPr>
                <w:noProof/>
              </w:rPr>
              <w:drawing>
                <wp:inline distT="0" distB="0" distL="0" distR="0" wp14:anchorId="103FDA00" wp14:editId="7C9AE792">
                  <wp:extent cx="6248400" cy="2667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48400" cy="2667000"/>
                          </a:xfrm>
                          <a:prstGeom prst="rect">
                            <a:avLst/>
                          </a:prstGeom>
                          <a:noFill/>
                          <a:ln>
                            <a:noFill/>
                          </a:ln>
                        </pic:spPr>
                      </pic:pic>
                    </a:graphicData>
                  </a:graphic>
                </wp:inline>
              </w:drawing>
            </w:r>
          </w:p>
          <w:p w:rsidR="00DB5957" w:rsidRDefault="00DB5957" w:rsidP="00DB5957">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March Nat Gas has the short term .786 retracement </w:t>
            </w:r>
            <w:proofErr w:type="gramStart"/>
            <w:r>
              <w:rPr>
                <w:rFonts w:ascii="Arial" w:hAnsi="Arial" w:cs="Arial"/>
                <w:sz w:val="20"/>
                <w:szCs w:val="20"/>
              </w:rPr>
              <w:t>support</w:t>
            </w:r>
            <w:proofErr w:type="gramEnd"/>
            <w:r>
              <w:rPr>
                <w:rFonts w:ascii="Arial" w:hAnsi="Arial" w:cs="Arial"/>
                <w:sz w:val="20"/>
                <w:szCs w:val="20"/>
              </w:rPr>
              <w:t xml:space="preserve"> at 2.688. Chart two below is the weekly rolling front month view and shows the 2.50 area as very pivotal support below. </w:t>
            </w:r>
          </w:p>
          <w:p w:rsidR="00DB5957" w:rsidRDefault="00DB5957" w:rsidP="00DB5957">
            <w:pPr>
              <w:autoSpaceDE w:val="0"/>
              <w:autoSpaceDN w:val="0"/>
              <w:spacing w:before="100" w:beforeAutospacing="1" w:after="100" w:afterAutospacing="1"/>
              <w:rPr>
                <w:rFonts w:ascii="Arial" w:hAnsi="Arial" w:cs="Arial"/>
                <w:b/>
                <w:bCs/>
                <w:color w:val="3B3838"/>
              </w:rPr>
            </w:pPr>
            <w:r>
              <w:rPr>
                <w:noProof/>
              </w:rPr>
              <w:drawing>
                <wp:inline distT="0" distB="0" distL="0" distR="0" wp14:anchorId="5DB2C75F" wp14:editId="2E97609A">
                  <wp:extent cx="6267450" cy="5419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67450" cy="5419725"/>
                          </a:xfrm>
                          <a:prstGeom prst="rect">
                            <a:avLst/>
                          </a:prstGeom>
                          <a:noFill/>
                          <a:ln>
                            <a:noFill/>
                          </a:ln>
                        </pic:spPr>
                      </pic:pic>
                    </a:graphicData>
                  </a:graphic>
                </wp:inline>
              </w:drawing>
            </w:r>
          </w:p>
          <w:p w:rsidR="00DB5957" w:rsidRDefault="00DB5957" w:rsidP="00DB5957">
            <w:pPr>
              <w:autoSpaceDE w:val="0"/>
              <w:autoSpaceDN w:val="0"/>
              <w:spacing w:before="100" w:beforeAutospacing="1" w:after="100" w:afterAutospacing="1"/>
              <w:rPr>
                <w:rFonts w:ascii="Arial" w:hAnsi="Arial" w:cs="Arial"/>
                <w:bCs/>
                <w:color w:val="3B3838"/>
                <w:sz w:val="20"/>
                <w:szCs w:val="20"/>
              </w:rPr>
            </w:pPr>
            <w:r>
              <w:rPr>
                <w:rFonts w:ascii="Arial" w:hAnsi="Arial" w:cs="Arial"/>
                <w:bCs/>
                <w:color w:val="3B3838"/>
                <w:sz w:val="20"/>
                <w:szCs w:val="20"/>
              </w:rPr>
              <w:t xml:space="preserve">The energy sector has been underperforming the last two weeks and all three ETFs are nearing their 200 day moving averages.  </w:t>
            </w:r>
          </w:p>
          <w:p w:rsidR="00DB5957" w:rsidRDefault="00DB5957" w:rsidP="00DB5957">
            <w:pPr>
              <w:autoSpaceDE w:val="0"/>
              <w:autoSpaceDN w:val="0"/>
              <w:spacing w:before="100" w:beforeAutospacing="1" w:after="100" w:afterAutospacing="1"/>
              <w:rPr>
                <w:rFonts w:ascii="Arial" w:hAnsi="Arial" w:cs="Arial"/>
                <w:b/>
                <w:bCs/>
                <w:color w:val="3B3838"/>
              </w:rPr>
            </w:pPr>
            <w:r>
              <w:rPr>
                <w:noProof/>
              </w:rPr>
              <w:drawing>
                <wp:inline distT="0" distB="0" distL="0" distR="0" wp14:anchorId="0061CCAA" wp14:editId="42F54BA2">
                  <wp:extent cx="6276975" cy="2638425"/>
                  <wp:effectExtent l="0" t="0" r="9525" b="9525"/>
                  <wp:docPr id="10" name="Picture 10" descr="cid:image041.png@01D39EA8.BA64A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41.png@01D39EA8.BA64AA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76975" cy="2638425"/>
                          </a:xfrm>
                          <a:prstGeom prst="rect">
                            <a:avLst/>
                          </a:prstGeom>
                          <a:noFill/>
                          <a:ln>
                            <a:noFill/>
                          </a:ln>
                        </pic:spPr>
                      </pic:pic>
                    </a:graphicData>
                  </a:graphic>
                </wp:inline>
              </w:drawing>
            </w:r>
          </w:p>
          <w:p w:rsidR="00AE6063" w:rsidRDefault="00AE6063" w:rsidP="00AE6063">
            <w:pPr>
              <w:autoSpaceDE w:val="0"/>
              <w:autoSpaceDN w:val="0"/>
              <w:spacing w:before="100" w:beforeAutospacing="1" w:after="100" w:afterAutospacing="1"/>
              <w:rPr>
                <w:rFonts w:ascii="Arial" w:hAnsi="Arial" w:cs="Arial"/>
                <w:color w:val="3B3838"/>
                <w:sz w:val="20"/>
                <w:szCs w:val="20"/>
              </w:rPr>
            </w:pPr>
            <w:r>
              <w:rPr>
                <w:rFonts w:ascii="Arial" w:hAnsi="Arial" w:cs="Arial"/>
                <w:b/>
                <w:bCs/>
                <w:color w:val="3B3838"/>
              </w:rPr>
              <w:t xml:space="preserve">METALS: </w:t>
            </w:r>
            <w:r>
              <w:rPr>
                <w:rFonts w:ascii="Arial" w:hAnsi="Arial" w:cs="Arial"/>
                <w:color w:val="3B3838"/>
                <w:sz w:val="20"/>
                <w:szCs w:val="20"/>
              </w:rPr>
              <w:t xml:space="preserve">  </w:t>
            </w:r>
          </w:p>
          <w:p w:rsidR="00AE6063" w:rsidRDefault="00AE6063" w:rsidP="00AE6063">
            <w:pPr>
              <w:autoSpaceDE w:val="0"/>
              <w:autoSpaceDN w:val="0"/>
              <w:spacing w:before="100" w:beforeAutospacing="1" w:after="100" w:afterAutospacing="1" w:line="276" w:lineRule="auto"/>
              <w:rPr>
                <w:rFonts w:ascii="Arial" w:hAnsi="Arial" w:cs="Arial"/>
                <w:color w:val="3B3838"/>
                <w:sz w:val="20"/>
                <w:szCs w:val="20"/>
              </w:rPr>
            </w:pPr>
            <w:r>
              <w:rPr>
                <w:rFonts w:ascii="Arial" w:hAnsi="Arial" w:cs="Arial"/>
                <w:color w:val="3B3838"/>
                <w:sz w:val="20"/>
                <w:szCs w:val="20"/>
              </w:rPr>
              <w:t xml:space="preserve">April Gold – as actively traded contract: is higher today and remains positive, but vulnerable as silver underperforms.    </w:t>
            </w:r>
          </w:p>
          <w:p w:rsidR="00AE6063" w:rsidRDefault="00AE6063" w:rsidP="00AE6063">
            <w:pPr>
              <w:autoSpaceDE w:val="0"/>
              <w:autoSpaceDN w:val="0"/>
              <w:spacing w:before="100" w:beforeAutospacing="1" w:after="100" w:afterAutospacing="1"/>
              <w:rPr>
                <w:rFonts w:ascii="Calibri Light" w:hAnsi="Calibri Light" w:cs="Calibri Light"/>
                <w:color w:val="000099"/>
                <w:sz w:val="22"/>
                <w:szCs w:val="22"/>
              </w:rPr>
            </w:pPr>
            <w:r>
              <w:rPr>
                <w:noProof/>
              </w:rPr>
              <w:drawing>
                <wp:inline distT="0" distB="0" distL="0" distR="0" wp14:anchorId="57635055" wp14:editId="180DA3E0">
                  <wp:extent cx="6276975" cy="2962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276975" cy="2962275"/>
                          </a:xfrm>
                          <a:prstGeom prst="rect">
                            <a:avLst/>
                          </a:prstGeom>
                          <a:noFill/>
                          <a:ln>
                            <a:noFill/>
                          </a:ln>
                        </pic:spPr>
                      </pic:pic>
                    </a:graphicData>
                  </a:graphic>
                </wp:inline>
              </w:drawing>
            </w:r>
          </w:p>
          <w:p w:rsidR="00AE6063" w:rsidRDefault="00AE6063" w:rsidP="00AE6063">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March Silver: we have used the cloud as a </w:t>
            </w:r>
            <w:proofErr w:type="gramStart"/>
            <w:r>
              <w:rPr>
                <w:rFonts w:ascii="Arial" w:hAnsi="Arial" w:cs="Arial"/>
                <w:sz w:val="20"/>
                <w:szCs w:val="20"/>
              </w:rPr>
              <w:t>pivotal  area</w:t>
            </w:r>
            <w:proofErr w:type="gramEnd"/>
            <w:r>
              <w:rPr>
                <w:rFonts w:ascii="Arial" w:hAnsi="Arial" w:cs="Arial"/>
                <w:sz w:val="20"/>
                <w:szCs w:val="20"/>
              </w:rPr>
              <w:t xml:space="preserve"> for a while and holding above the cloud is a positive. A break of 16.425 would likely see downside momentum sparked.  </w:t>
            </w:r>
          </w:p>
          <w:p w:rsidR="00AE6063" w:rsidRDefault="00AE6063" w:rsidP="00AE6063">
            <w:pPr>
              <w:autoSpaceDE w:val="0"/>
              <w:autoSpaceDN w:val="0"/>
              <w:spacing w:before="100" w:beforeAutospacing="1" w:after="100" w:afterAutospacing="1"/>
              <w:rPr>
                <w:rFonts w:ascii="Arial" w:hAnsi="Arial" w:cs="Arial"/>
                <w:sz w:val="20"/>
                <w:szCs w:val="20"/>
              </w:rPr>
            </w:pPr>
            <w:r>
              <w:rPr>
                <w:noProof/>
              </w:rPr>
              <w:drawing>
                <wp:inline distT="0" distB="0" distL="0" distR="0" wp14:anchorId="5E54776E" wp14:editId="6976937F">
                  <wp:extent cx="6276975" cy="2667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76975" cy="2667000"/>
                          </a:xfrm>
                          <a:prstGeom prst="rect">
                            <a:avLst/>
                          </a:prstGeom>
                          <a:noFill/>
                          <a:ln>
                            <a:noFill/>
                          </a:ln>
                        </pic:spPr>
                      </pic:pic>
                    </a:graphicData>
                  </a:graphic>
                </wp:inline>
              </w:drawing>
            </w:r>
          </w:p>
          <w:p w:rsidR="00AE6063" w:rsidRDefault="00AE6063" w:rsidP="00AE6063">
            <w:pPr>
              <w:autoSpaceDE w:val="0"/>
              <w:autoSpaceDN w:val="0"/>
              <w:spacing w:before="100" w:beforeAutospacing="1" w:after="100" w:afterAutospacing="1"/>
              <w:rPr>
                <w:rFonts w:ascii="Arial" w:hAnsi="Arial" w:cs="Arial"/>
                <w:sz w:val="20"/>
                <w:szCs w:val="20"/>
              </w:rPr>
            </w:pPr>
            <w:r>
              <w:rPr>
                <w:rFonts w:ascii="Arial" w:hAnsi="Arial" w:cs="Arial"/>
                <w:b/>
                <w:sz w:val="20"/>
                <w:szCs w:val="20"/>
              </w:rPr>
              <w:t>Gold vs Silver*:</w:t>
            </w:r>
            <w:r>
              <w:rPr>
                <w:rFonts w:ascii="Arial" w:hAnsi="Arial" w:cs="Arial"/>
                <w:sz w:val="20"/>
                <w:szCs w:val="20"/>
              </w:rPr>
              <w:t xml:space="preserve"> normally we would look for silver to be the lead in direction. The .786 retrace has been very pivotal resistance and negative for both gold and silver above this pivotal point. </w:t>
            </w:r>
          </w:p>
          <w:p w:rsidR="00AE6063" w:rsidRDefault="00AE6063" w:rsidP="00AE6063">
            <w:pPr>
              <w:autoSpaceDE w:val="0"/>
              <w:autoSpaceDN w:val="0"/>
              <w:spacing w:before="100" w:beforeAutospacing="1" w:after="100" w:afterAutospacing="1"/>
              <w:rPr>
                <w:rFonts w:ascii="Arial" w:hAnsi="Arial" w:cs="Arial"/>
                <w:sz w:val="20"/>
                <w:szCs w:val="20"/>
              </w:rPr>
            </w:pPr>
            <w:r>
              <w:rPr>
                <w:noProof/>
              </w:rPr>
              <w:drawing>
                <wp:inline distT="0" distB="0" distL="0" distR="0" wp14:anchorId="0505557E" wp14:editId="38AD7AE5">
                  <wp:extent cx="6276975" cy="2962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276975" cy="2962275"/>
                          </a:xfrm>
                          <a:prstGeom prst="rect">
                            <a:avLst/>
                          </a:prstGeom>
                          <a:noFill/>
                          <a:ln>
                            <a:noFill/>
                          </a:ln>
                        </pic:spPr>
                      </pic:pic>
                    </a:graphicData>
                  </a:graphic>
                </wp:inline>
              </w:drawing>
            </w:r>
          </w:p>
          <w:p w:rsidR="00AE6063" w:rsidRDefault="00AE6063" w:rsidP="00AE6063">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March Copper: has been choppy and we will use the 3.0875 area below as short term pivot pt</w:t>
            </w:r>
          </w:p>
          <w:p w:rsidR="00AE6063" w:rsidRDefault="00AE6063" w:rsidP="00AE6063">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72507EE7" wp14:editId="15214A59">
                  <wp:extent cx="6276975" cy="2962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76975" cy="2962275"/>
                          </a:xfrm>
                          <a:prstGeom prst="rect">
                            <a:avLst/>
                          </a:prstGeom>
                          <a:noFill/>
                          <a:ln>
                            <a:noFill/>
                          </a:ln>
                        </pic:spPr>
                      </pic:pic>
                    </a:graphicData>
                  </a:graphic>
                </wp:inline>
              </w:drawing>
            </w:r>
          </w:p>
          <w:p w:rsidR="00AE6063" w:rsidRDefault="00AE6063" w:rsidP="00AE6063">
            <w:pPr>
              <w:autoSpaceDE w:val="0"/>
              <w:autoSpaceDN w:val="0"/>
              <w:spacing w:before="100" w:beforeAutospacing="1" w:after="100" w:afterAutospacing="1"/>
              <w:rPr>
                <w:rFonts w:ascii="Arial" w:hAnsi="Arial" w:cs="Arial"/>
                <w:color w:val="3B3838"/>
                <w:sz w:val="20"/>
                <w:szCs w:val="20"/>
              </w:rPr>
            </w:pPr>
            <w:r>
              <w:rPr>
                <w:rFonts w:ascii="Arial" w:hAnsi="Arial" w:cs="Arial"/>
                <w:b/>
                <w:bCs/>
                <w:color w:val="3B3838"/>
              </w:rPr>
              <w:t>CURRENCIES: </w:t>
            </w:r>
            <w:r>
              <w:rPr>
                <w:rFonts w:ascii="Arial" w:hAnsi="Arial" w:cs="Arial"/>
                <w:color w:val="3B3838"/>
                <w:sz w:val="20"/>
                <w:szCs w:val="20"/>
              </w:rPr>
              <w:t xml:space="preserve">    </w:t>
            </w:r>
          </w:p>
          <w:p w:rsidR="00AE6063" w:rsidRDefault="00AE6063" w:rsidP="00AE6063">
            <w:pPr>
              <w:autoSpaceDE w:val="0"/>
              <w:autoSpaceDN w:val="0"/>
              <w:spacing w:before="100" w:beforeAutospacing="1" w:after="100" w:afterAutospacing="1"/>
              <w:rPr>
                <w:rFonts w:ascii="Arial" w:hAnsi="Arial" w:cs="Arial"/>
                <w:bCs/>
                <w:color w:val="3B3838"/>
                <w:sz w:val="20"/>
                <w:szCs w:val="20"/>
              </w:rPr>
            </w:pPr>
            <w:r>
              <w:rPr>
                <w:rFonts w:ascii="Arial" w:hAnsi="Arial" w:cs="Arial"/>
                <w:bCs/>
                <w:color w:val="3B3838"/>
                <w:sz w:val="20"/>
                <w:szCs w:val="20"/>
              </w:rPr>
              <w:t xml:space="preserve">US$ Index is holding support at its 200 month moving average and 50% retrace from the 2011 low. </w:t>
            </w:r>
          </w:p>
          <w:p w:rsidR="00AE6063" w:rsidRDefault="00AE6063" w:rsidP="00AE6063">
            <w:pPr>
              <w:autoSpaceDE w:val="0"/>
              <w:autoSpaceDN w:val="0"/>
              <w:spacing w:before="100" w:beforeAutospacing="1" w:after="100" w:afterAutospacing="1"/>
              <w:rPr>
                <w:rFonts w:ascii="Arial" w:hAnsi="Arial" w:cs="Arial"/>
                <w:bCs/>
                <w:color w:val="3B3838"/>
                <w:sz w:val="20"/>
                <w:szCs w:val="20"/>
              </w:rPr>
            </w:pPr>
            <w:r>
              <w:rPr>
                <w:noProof/>
              </w:rPr>
              <w:drawing>
                <wp:inline distT="0" distB="0" distL="0" distR="0" wp14:anchorId="392DF77F" wp14:editId="337CA1B3">
                  <wp:extent cx="6238875" cy="2838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38875" cy="2838450"/>
                          </a:xfrm>
                          <a:prstGeom prst="rect">
                            <a:avLst/>
                          </a:prstGeom>
                          <a:noFill/>
                          <a:ln>
                            <a:noFill/>
                          </a:ln>
                        </pic:spPr>
                      </pic:pic>
                    </a:graphicData>
                  </a:graphic>
                </wp:inline>
              </w:drawing>
            </w:r>
          </w:p>
          <w:p w:rsidR="00AE6063" w:rsidRDefault="00AE6063" w:rsidP="00AE6063">
            <w:pPr>
              <w:autoSpaceDE w:val="0"/>
              <w:autoSpaceDN w:val="0"/>
              <w:spacing w:before="100" w:beforeAutospacing="1" w:after="100" w:afterAutospacing="1"/>
              <w:rPr>
                <w:rFonts w:ascii="Arial" w:hAnsi="Arial" w:cs="Arial"/>
                <w:bCs/>
                <w:color w:val="3B3838"/>
                <w:sz w:val="20"/>
                <w:szCs w:val="20"/>
              </w:rPr>
            </w:pPr>
            <w:r>
              <w:rPr>
                <w:rFonts w:ascii="Arial" w:hAnsi="Arial" w:cs="Arial"/>
                <w:bCs/>
                <w:color w:val="3B3838"/>
                <w:sz w:val="20"/>
                <w:szCs w:val="20"/>
              </w:rPr>
              <w:t xml:space="preserve">CNH lower again today and nearing pivotal levels </w:t>
            </w:r>
          </w:p>
          <w:p w:rsidR="00AE6063" w:rsidRDefault="00AE6063" w:rsidP="00AE6063">
            <w:pPr>
              <w:autoSpaceDE w:val="0"/>
              <w:autoSpaceDN w:val="0"/>
              <w:spacing w:before="100" w:beforeAutospacing="1" w:after="100" w:afterAutospacing="1"/>
              <w:rPr>
                <w:rFonts w:ascii="Arial" w:hAnsi="Arial" w:cs="Arial"/>
                <w:bCs/>
                <w:color w:val="3B3838"/>
                <w:sz w:val="20"/>
                <w:szCs w:val="20"/>
              </w:rPr>
            </w:pPr>
            <w:r>
              <w:rPr>
                <w:noProof/>
              </w:rPr>
              <w:drawing>
                <wp:inline distT="0" distB="0" distL="0" distR="0" wp14:anchorId="4F540C58" wp14:editId="666A6E46">
                  <wp:extent cx="6257925" cy="2971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257925" cy="2971800"/>
                          </a:xfrm>
                          <a:prstGeom prst="rect">
                            <a:avLst/>
                          </a:prstGeom>
                          <a:noFill/>
                          <a:ln>
                            <a:noFill/>
                          </a:ln>
                        </pic:spPr>
                      </pic:pic>
                    </a:graphicData>
                  </a:graphic>
                </wp:inline>
              </w:drawing>
            </w:r>
          </w:p>
          <w:p w:rsidR="00AE6063" w:rsidRDefault="00AE6063" w:rsidP="00AE6063">
            <w:pPr>
              <w:autoSpaceDE w:val="0"/>
              <w:autoSpaceDN w:val="0"/>
              <w:spacing w:before="100" w:beforeAutospacing="1" w:after="100" w:afterAutospacing="1"/>
              <w:rPr>
                <w:rFonts w:ascii="Arial" w:hAnsi="Arial" w:cs="Arial"/>
                <w:bCs/>
                <w:color w:val="3B3838"/>
                <w:sz w:val="20"/>
                <w:szCs w:val="20"/>
              </w:rPr>
            </w:pPr>
            <w:r>
              <w:rPr>
                <w:rFonts w:ascii="Arial" w:hAnsi="Arial" w:cs="Arial"/>
                <w:bCs/>
                <w:color w:val="3B3838"/>
                <w:sz w:val="20"/>
                <w:szCs w:val="20"/>
              </w:rPr>
              <w:t>March Yen held the vwap of the year initial support area again yesterday, holding a positive short term tone</w:t>
            </w:r>
          </w:p>
          <w:p w:rsidR="00AE6063" w:rsidRDefault="00AE6063" w:rsidP="00AE6063">
            <w:pPr>
              <w:autoSpaceDE w:val="0"/>
              <w:autoSpaceDN w:val="0"/>
              <w:spacing w:before="100" w:beforeAutospacing="1" w:after="100" w:afterAutospacing="1"/>
              <w:rPr>
                <w:rFonts w:ascii="Arial" w:hAnsi="Arial" w:cs="Arial"/>
                <w:bCs/>
                <w:color w:val="3B3838"/>
                <w:sz w:val="20"/>
                <w:szCs w:val="20"/>
              </w:rPr>
            </w:pPr>
            <w:r>
              <w:rPr>
                <w:noProof/>
              </w:rPr>
              <w:drawing>
                <wp:inline distT="0" distB="0" distL="0" distR="0" wp14:anchorId="1C155942" wp14:editId="7A0E0D0B">
                  <wp:extent cx="6257925" cy="2990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257925" cy="2990850"/>
                          </a:xfrm>
                          <a:prstGeom prst="rect">
                            <a:avLst/>
                          </a:prstGeom>
                          <a:noFill/>
                          <a:ln>
                            <a:noFill/>
                          </a:ln>
                        </pic:spPr>
                      </pic:pic>
                    </a:graphicData>
                  </a:graphic>
                </wp:inline>
              </w:drawing>
            </w:r>
          </w:p>
          <w:p w:rsidR="00AE6063" w:rsidRDefault="00AE6063" w:rsidP="00AE6063">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CA6 turned lower after testing the .786 resistance and is nearing the 50dma which has been a very good short term pivotal pt. We will look for this level to hold, but if it breaks look for a retest of the 200dma* (50dma in USDCAD is 1.2606).  </w:t>
            </w:r>
          </w:p>
          <w:p w:rsidR="00AE6063" w:rsidRDefault="00AE6063" w:rsidP="00AE6063">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0817578F" wp14:editId="0286C678">
                  <wp:extent cx="6276975" cy="2971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276975" cy="2971800"/>
                          </a:xfrm>
                          <a:prstGeom prst="rect">
                            <a:avLst/>
                          </a:prstGeom>
                          <a:noFill/>
                          <a:ln>
                            <a:noFill/>
                          </a:ln>
                        </pic:spPr>
                      </pic:pic>
                    </a:graphicData>
                  </a:graphic>
                </wp:inline>
              </w:drawing>
            </w:r>
          </w:p>
          <w:p w:rsidR="008F1D0B" w:rsidRDefault="008F1D0B" w:rsidP="008F1D0B">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Charted using CQG </w:t>
            </w:r>
          </w:p>
          <w:p w:rsidR="00D71610" w:rsidRPr="008F1D0B" w:rsidRDefault="008F1D0B" w:rsidP="008F1D0B">
            <w:pPr>
              <w:autoSpaceDE w:val="0"/>
              <w:autoSpaceDN w:val="0"/>
              <w:spacing w:before="100" w:beforeAutospacing="1" w:after="100" w:afterAutospacing="1"/>
              <w:rPr>
                <w:rFonts w:ascii="Calibri" w:hAnsi="Calibri" w:cs="Calibri"/>
                <w:sz w:val="22"/>
                <w:szCs w:val="22"/>
              </w:rPr>
            </w:pPr>
            <w:r>
              <w:rPr>
                <w:rFonts w:ascii="Calibri" w:hAnsi="Calibri" w:cs="Calibri"/>
                <w:noProof/>
                <w:sz w:val="22"/>
                <w:szCs w:val="22"/>
              </w:rPr>
              <w:drawing>
                <wp:inline distT="0" distB="0" distL="0" distR="0" wp14:anchorId="0778A1F2" wp14:editId="39E964CF">
                  <wp:extent cx="971550" cy="219075"/>
                  <wp:effectExtent l="0" t="0" r="0" b="9525"/>
                  <wp:docPr id="1" name="Picture 1" descr="cid:image042.png@01D3635C.FF6E0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42.png@01D3635C.FF6E0DE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71550" cy="219075"/>
                          </a:xfrm>
                          <a:prstGeom prst="rect">
                            <a:avLst/>
                          </a:prstGeom>
                          <a:noFill/>
                          <a:ln>
                            <a:noFill/>
                          </a:ln>
                        </pic:spPr>
                      </pic:pic>
                    </a:graphicData>
                  </a:graphic>
                </wp:inline>
              </w:drawing>
            </w:r>
            <w:r>
              <w:rPr>
                <w:rFonts w:ascii="Calibri" w:hAnsi="Calibri" w:cs="Calibri"/>
                <w:sz w:val="22"/>
                <w:szCs w:val="22"/>
              </w:rPr>
              <w:t xml:space="preserve">  </w:t>
            </w:r>
            <w:hyperlink r:id="rId50" w:history="1">
              <w:r>
                <w:rPr>
                  <w:rStyle w:val="Hyperlink"/>
                  <w:rFonts w:ascii="Calibri" w:hAnsi="Calibri" w:cs="Calibri"/>
                  <w:sz w:val="22"/>
                  <w:szCs w:val="22"/>
                </w:rPr>
                <w:t>www.cqg.com</w:t>
              </w:r>
            </w:hyperlink>
            <w:r>
              <w:rPr>
                <w:rFonts w:ascii="Calibri" w:hAnsi="Calibri" w:cs="Calibri"/>
                <w:sz w:val="22"/>
                <w:szCs w:val="22"/>
              </w:rPr>
              <w:t xml:space="preserve"> </w:t>
            </w:r>
          </w:p>
          <w:p w:rsidR="00044155" w:rsidRDefault="00CB57EF" w:rsidP="00044155">
            <w:pPr>
              <w:rPr>
                <w:rFonts w:ascii="Arial" w:hAnsi="Arial" w:cs="Arial"/>
                <w:b/>
                <w:bCs/>
                <w:sz w:val="22"/>
                <w:szCs w:val="22"/>
              </w:rPr>
            </w:pPr>
            <w:r>
              <w:rPr>
                <w:rFonts w:ascii="Arial" w:hAnsi="Arial" w:cs="Arial"/>
                <w:b/>
                <w:bCs/>
                <w:sz w:val="22"/>
                <w:szCs w:val="22"/>
              </w:rPr>
              <w:t> </w:t>
            </w:r>
            <w:r w:rsidR="00044155">
              <w:rPr>
                <w:rFonts w:ascii="Arial" w:hAnsi="Arial" w:cs="Arial"/>
                <w:b/>
                <w:bCs/>
                <w:sz w:val="22"/>
                <w:szCs w:val="22"/>
              </w:rPr>
              <w:t>                         </w:t>
            </w:r>
            <w:r>
              <w:rPr>
                <w:rFonts w:ascii="Arial" w:hAnsi="Arial" w:cs="Arial"/>
                <w:b/>
                <w:bCs/>
                <w:sz w:val="22"/>
                <w:szCs w:val="22"/>
              </w:rPr>
              <w:t xml:space="preserve"> </w:t>
            </w:r>
            <w:r w:rsidR="00044155">
              <w:rPr>
                <w:rFonts w:ascii="Arial" w:hAnsi="Arial" w:cs="Arial"/>
                <w:b/>
                <w:bCs/>
                <w:sz w:val="22"/>
                <w:szCs w:val="22"/>
              </w:rPr>
              <w:t xml:space="preserve">       </w:t>
            </w:r>
            <w:r w:rsidR="00044155">
              <w:rPr>
                <w:rFonts w:ascii="Arial" w:hAnsi="Arial" w:cs="Arial"/>
                <w:sz w:val="22"/>
                <w:szCs w:val="22"/>
              </w:rPr>
              <w:t>                                                                </w:t>
            </w:r>
            <w:r w:rsidR="00044155">
              <w:rPr>
                <w:rFonts w:ascii="Calibri" w:hAnsi="Calibri" w:cs="Calibri"/>
                <w:sz w:val="22"/>
                <w:szCs w:val="22"/>
              </w:rPr>
              <w:t>                      </w:t>
            </w:r>
          </w:p>
          <w:p w:rsidR="004D29EF" w:rsidRDefault="004D29EF" w:rsidP="004D29EF">
            <w:pPr>
              <w:autoSpaceDE w:val="0"/>
              <w:autoSpaceDN w:val="0"/>
              <w:spacing w:before="100" w:beforeAutospacing="1" w:after="100" w:afterAutospacing="1"/>
            </w:pPr>
            <w:r>
              <w:rPr>
                <w:noProof/>
              </w:rPr>
              <mc:AlternateContent>
                <mc:Choice Requires="wps">
                  <w:drawing>
                    <wp:anchor distT="0" distB="0" distL="114300" distR="114300" simplePos="0" relativeHeight="251659264" behindDoc="0" locked="0" layoutInCell="1" allowOverlap="1" wp14:anchorId="49CD23E5" wp14:editId="5DE6D66A">
                      <wp:simplePos x="0" y="0"/>
                      <wp:positionH relativeFrom="column">
                        <wp:posOffset>57150</wp:posOffset>
                      </wp:positionH>
                      <wp:positionV relativeFrom="paragraph">
                        <wp:posOffset>123825</wp:posOffset>
                      </wp:positionV>
                      <wp:extent cx="6419850" cy="9525"/>
                      <wp:effectExtent l="0" t="0" r="19050" b="28575"/>
                      <wp:wrapNone/>
                      <wp:docPr id="92" name="Straight Connector 92"/>
                      <wp:cNvGraphicFramePr/>
                      <a:graphic xmlns:a="http://schemas.openxmlformats.org/drawingml/2006/main">
                        <a:graphicData uri="http://schemas.microsoft.com/office/word/2010/wordprocessingShape">
                          <wps:wsp>
                            <wps:cNvCnPr/>
                            <wps:spPr>
                              <a:xfrm>
                                <a:off x="0" y="0"/>
                                <a:ext cx="6419850" cy="9525"/>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75pt" to="51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" strokecolor="#44546a [3215]" strokeweight="1pt">
                      <v:stroke joinstyle="miter"/>
                    </v:line>
                  </w:pict>
                </mc:Fallback>
              </mc:AlternateContent>
            </w:r>
          </w:p>
          <w:p w:rsidR="004D29EF" w:rsidRDefault="004D29EF" w:rsidP="004D29EF">
            <w:pPr>
              <w:rPr>
                <w:rFonts w:ascii="Tw Cen MT" w:hAnsi="Tw Cen MT"/>
              </w:rPr>
            </w:pPr>
            <w:r>
              <w:rPr>
                <w:rFonts w:ascii="Calibri" w:hAnsi="Calibri" w:cs="Calibri"/>
                <w:color w:val="333333"/>
                <w:sz w:val="20"/>
                <w:szCs w:val="20"/>
                <w:u w:val="single"/>
              </w:rPr>
              <w:t xml:space="preserve">DISCLAIMER:  For Educational purposes only.  </w:t>
            </w:r>
            <w:r>
              <w:rPr>
                <w:rFonts w:ascii="Tw Cen MT" w:hAnsi="Tw Cen MT"/>
                <w:color w:val="333333"/>
                <w:sz w:val="20"/>
                <w:szCs w:val="20"/>
                <w:u w:val="single"/>
              </w:rPr>
              <w:t>This is not a solicitation to buy or sell commodity futures or options on commodity futures and should not be construed as such.  The risk of trading securities, futures and options can be substantial and is not for everyone.  Such investments may not be appropriate for the recipient.  The valuation of futures and options may fluctuate, and, as a result, clients may lose more than their original investment.  Nothing contained in this message may be construed as an express or an implied promise, guarantee or implication by, of, or from Keystone Charts, Inc. that you will profit or that losses can or will be limited in any manner whatsoever.  Past performance is not necessarily indicative of future results.  Although care has been taken to assure the accuracy, completeness and reliability of the information contained herein, Keystone Charts, Inc. makes no warranty, express or implied, or assumes any legal liability or responsibility for the accuracy, completeness, reliability or usefulness of any information, product, service or process disclosed.  PROPERTY OF KEYSTONE CHARTS, INC.  DO NOT COPY OR FORWARD INTELLECTUAL PROPERTY WITHOUT PRIOR WRITTEN CONSENT.</w:t>
            </w:r>
          </w:p>
          <w:p w:rsidR="00554C90" w:rsidRDefault="00554C90">
            <w:pPr>
              <w:autoSpaceDE w:val="0"/>
              <w:autoSpaceDN w:val="0"/>
              <w:spacing w:before="100" w:beforeAutospacing="1" w:after="100" w:afterAutospacing="1"/>
              <w:rPr>
                <w:rFonts w:ascii="Calibri" w:hAnsi="Calibri" w:cs="Calibri"/>
                <w:sz w:val="22"/>
                <w:szCs w:val="22"/>
              </w:rPr>
            </w:pPr>
          </w:p>
        </w:tc>
      </w:tr>
    </w:tbl>
    <w:p w:rsidR="009F578E" w:rsidRDefault="009F578E"/>
    <w:sectPr w:rsidR="009F578E" w:rsidSect="006D3FDC">
      <w:type w:val="continuous"/>
      <w:pgSz w:w="12240" w:h="15840" w:code="1"/>
      <w:pgMar w:top="720" w:right="274" w:bottom="0" w:left="274" w:header="720" w:footer="720" w:gutter="0"/>
      <w:paperSrc w:first="4" w:other="4"/>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hideSpellingErrors/>
  <w:hideGrammaticalErrors/>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C90"/>
    <w:rsid w:val="00044155"/>
    <w:rsid w:val="00070134"/>
    <w:rsid w:val="00112B29"/>
    <w:rsid w:val="001C0736"/>
    <w:rsid w:val="00267D9A"/>
    <w:rsid w:val="004A3404"/>
    <w:rsid w:val="004A627B"/>
    <w:rsid w:val="004D29EF"/>
    <w:rsid w:val="004E2EDD"/>
    <w:rsid w:val="005177EE"/>
    <w:rsid w:val="0055120F"/>
    <w:rsid w:val="00554C90"/>
    <w:rsid w:val="006D3FDC"/>
    <w:rsid w:val="00825E05"/>
    <w:rsid w:val="00874830"/>
    <w:rsid w:val="008902A8"/>
    <w:rsid w:val="008F1D0B"/>
    <w:rsid w:val="009F578E"/>
    <w:rsid w:val="00A71790"/>
    <w:rsid w:val="00A74973"/>
    <w:rsid w:val="00AC228C"/>
    <w:rsid w:val="00AC7C43"/>
    <w:rsid w:val="00AE6063"/>
    <w:rsid w:val="00C01E19"/>
    <w:rsid w:val="00C353B5"/>
    <w:rsid w:val="00C805C6"/>
    <w:rsid w:val="00CB57EF"/>
    <w:rsid w:val="00CD2E92"/>
    <w:rsid w:val="00CF6832"/>
    <w:rsid w:val="00D674E7"/>
    <w:rsid w:val="00D71610"/>
    <w:rsid w:val="00D95121"/>
    <w:rsid w:val="00DB5957"/>
    <w:rsid w:val="00DF2268"/>
    <w:rsid w:val="00E55EE7"/>
    <w:rsid w:val="00E80FBF"/>
    <w:rsid w:val="00E822B2"/>
    <w:rsid w:val="00EC4320"/>
    <w:rsid w:val="00F11901"/>
    <w:rsid w:val="00F4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C9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C90"/>
    <w:rPr>
      <w:rFonts w:ascii="Tahoma" w:hAnsi="Tahoma" w:cs="Tahoma"/>
      <w:sz w:val="16"/>
      <w:szCs w:val="16"/>
    </w:rPr>
  </w:style>
  <w:style w:type="character" w:customStyle="1" w:styleId="BalloonTextChar">
    <w:name w:val="Balloon Text Char"/>
    <w:basedOn w:val="DefaultParagraphFont"/>
    <w:link w:val="BalloonText"/>
    <w:uiPriority w:val="99"/>
    <w:semiHidden/>
    <w:rsid w:val="00554C90"/>
    <w:rPr>
      <w:rFonts w:ascii="Tahoma" w:hAnsi="Tahoma" w:cs="Tahoma"/>
      <w:sz w:val="16"/>
      <w:szCs w:val="16"/>
    </w:rPr>
  </w:style>
  <w:style w:type="character" w:styleId="Hyperlink">
    <w:name w:val="Hyperlink"/>
    <w:basedOn w:val="DefaultParagraphFont"/>
    <w:uiPriority w:val="99"/>
    <w:semiHidden/>
    <w:unhideWhenUsed/>
    <w:rsid w:val="008F1D0B"/>
    <w:rPr>
      <w:color w:val="0000FF"/>
      <w:u w:val="single"/>
    </w:rPr>
  </w:style>
  <w:style w:type="table" w:styleId="TableGrid">
    <w:name w:val="Table Grid"/>
    <w:basedOn w:val="TableNormal"/>
    <w:uiPriority w:val="39"/>
    <w:rsid w:val="00CF683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C9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C90"/>
    <w:rPr>
      <w:rFonts w:ascii="Tahoma" w:hAnsi="Tahoma" w:cs="Tahoma"/>
      <w:sz w:val="16"/>
      <w:szCs w:val="16"/>
    </w:rPr>
  </w:style>
  <w:style w:type="character" w:customStyle="1" w:styleId="BalloonTextChar">
    <w:name w:val="Balloon Text Char"/>
    <w:basedOn w:val="DefaultParagraphFont"/>
    <w:link w:val="BalloonText"/>
    <w:uiPriority w:val="99"/>
    <w:semiHidden/>
    <w:rsid w:val="00554C90"/>
    <w:rPr>
      <w:rFonts w:ascii="Tahoma" w:hAnsi="Tahoma" w:cs="Tahoma"/>
      <w:sz w:val="16"/>
      <w:szCs w:val="16"/>
    </w:rPr>
  </w:style>
  <w:style w:type="character" w:styleId="Hyperlink">
    <w:name w:val="Hyperlink"/>
    <w:basedOn w:val="DefaultParagraphFont"/>
    <w:uiPriority w:val="99"/>
    <w:semiHidden/>
    <w:unhideWhenUsed/>
    <w:rsid w:val="008F1D0B"/>
    <w:rPr>
      <w:color w:val="0000FF"/>
      <w:u w:val="single"/>
    </w:rPr>
  </w:style>
  <w:style w:type="table" w:styleId="TableGrid">
    <w:name w:val="Table Grid"/>
    <w:basedOn w:val="TableNormal"/>
    <w:uiPriority w:val="39"/>
    <w:rsid w:val="00CF683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6848">
      <w:bodyDiv w:val="1"/>
      <w:marLeft w:val="0"/>
      <w:marRight w:val="0"/>
      <w:marTop w:val="0"/>
      <w:marBottom w:val="0"/>
      <w:divBdr>
        <w:top w:val="none" w:sz="0" w:space="0" w:color="auto"/>
        <w:left w:val="none" w:sz="0" w:space="0" w:color="auto"/>
        <w:bottom w:val="none" w:sz="0" w:space="0" w:color="auto"/>
        <w:right w:val="none" w:sz="0" w:space="0" w:color="auto"/>
      </w:divBdr>
    </w:div>
    <w:div w:id="85856231">
      <w:bodyDiv w:val="1"/>
      <w:marLeft w:val="0"/>
      <w:marRight w:val="0"/>
      <w:marTop w:val="0"/>
      <w:marBottom w:val="0"/>
      <w:divBdr>
        <w:top w:val="none" w:sz="0" w:space="0" w:color="auto"/>
        <w:left w:val="none" w:sz="0" w:space="0" w:color="auto"/>
        <w:bottom w:val="none" w:sz="0" w:space="0" w:color="auto"/>
        <w:right w:val="none" w:sz="0" w:space="0" w:color="auto"/>
      </w:divBdr>
    </w:div>
    <w:div w:id="148133674">
      <w:bodyDiv w:val="1"/>
      <w:marLeft w:val="0"/>
      <w:marRight w:val="0"/>
      <w:marTop w:val="0"/>
      <w:marBottom w:val="0"/>
      <w:divBdr>
        <w:top w:val="none" w:sz="0" w:space="0" w:color="auto"/>
        <w:left w:val="none" w:sz="0" w:space="0" w:color="auto"/>
        <w:bottom w:val="none" w:sz="0" w:space="0" w:color="auto"/>
        <w:right w:val="none" w:sz="0" w:space="0" w:color="auto"/>
      </w:divBdr>
    </w:div>
    <w:div w:id="255024445">
      <w:bodyDiv w:val="1"/>
      <w:marLeft w:val="0"/>
      <w:marRight w:val="0"/>
      <w:marTop w:val="0"/>
      <w:marBottom w:val="0"/>
      <w:divBdr>
        <w:top w:val="none" w:sz="0" w:space="0" w:color="auto"/>
        <w:left w:val="none" w:sz="0" w:space="0" w:color="auto"/>
        <w:bottom w:val="none" w:sz="0" w:space="0" w:color="auto"/>
        <w:right w:val="none" w:sz="0" w:space="0" w:color="auto"/>
      </w:divBdr>
    </w:div>
    <w:div w:id="287319209">
      <w:bodyDiv w:val="1"/>
      <w:marLeft w:val="0"/>
      <w:marRight w:val="0"/>
      <w:marTop w:val="0"/>
      <w:marBottom w:val="0"/>
      <w:divBdr>
        <w:top w:val="none" w:sz="0" w:space="0" w:color="auto"/>
        <w:left w:val="none" w:sz="0" w:space="0" w:color="auto"/>
        <w:bottom w:val="none" w:sz="0" w:space="0" w:color="auto"/>
        <w:right w:val="none" w:sz="0" w:space="0" w:color="auto"/>
      </w:divBdr>
    </w:div>
    <w:div w:id="386222708">
      <w:bodyDiv w:val="1"/>
      <w:marLeft w:val="0"/>
      <w:marRight w:val="0"/>
      <w:marTop w:val="0"/>
      <w:marBottom w:val="0"/>
      <w:divBdr>
        <w:top w:val="none" w:sz="0" w:space="0" w:color="auto"/>
        <w:left w:val="none" w:sz="0" w:space="0" w:color="auto"/>
        <w:bottom w:val="none" w:sz="0" w:space="0" w:color="auto"/>
        <w:right w:val="none" w:sz="0" w:space="0" w:color="auto"/>
      </w:divBdr>
    </w:div>
    <w:div w:id="579678787">
      <w:bodyDiv w:val="1"/>
      <w:marLeft w:val="0"/>
      <w:marRight w:val="0"/>
      <w:marTop w:val="0"/>
      <w:marBottom w:val="0"/>
      <w:divBdr>
        <w:top w:val="none" w:sz="0" w:space="0" w:color="auto"/>
        <w:left w:val="none" w:sz="0" w:space="0" w:color="auto"/>
        <w:bottom w:val="none" w:sz="0" w:space="0" w:color="auto"/>
        <w:right w:val="none" w:sz="0" w:space="0" w:color="auto"/>
      </w:divBdr>
    </w:div>
    <w:div w:id="716899921">
      <w:bodyDiv w:val="1"/>
      <w:marLeft w:val="0"/>
      <w:marRight w:val="0"/>
      <w:marTop w:val="0"/>
      <w:marBottom w:val="0"/>
      <w:divBdr>
        <w:top w:val="none" w:sz="0" w:space="0" w:color="auto"/>
        <w:left w:val="none" w:sz="0" w:space="0" w:color="auto"/>
        <w:bottom w:val="none" w:sz="0" w:space="0" w:color="auto"/>
        <w:right w:val="none" w:sz="0" w:space="0" w:color="auto"/>
      </w:divBdr>
    </w:div>
    <w:div w:id="723991437">
      <w:bodyDiv w:val="1"/>
      <w:marLeft w:val="0"/>
      <w:marRight w:val="0"/>
      <w:marTop w:val="0"/>
      <w:marBottom w:val="0"/>
      <w:divBdr>
        <w:top w:val="none" w:sz="0" w:space="0" w:color="auto"/>
        <w:left w:val="none" w:sz="0" w:space="0" w:color="auto"/>
        <w:bottom w:val="none" w:sz="0" w:space="0" w:color="auto"/>
        <w:right w:val="none" w:sz="0" w:space="0" w:color="auto"/>
      </w:divBdr>
    </w:div>
    <w:div w:id="733629327">
      <w:bodyDiv w:val="1"/>
      <w:marLeft w:val="0"/>
      <w:marRight w:val="0"/>
      <w:marTop w:val="0"/>
      <w:marBottom w:val="0"/>
      <w:divBdr>
        <w:top w:val="none" w:sz="0" w:space="0" w:color="auto"/>
        <w:left w:val="none" w:sz="0" w:space="0" w:color="auto"/>
        <w:bottom w:val="none" w:sz="0" w:space="0" w:color="auto"/>
        <w:right w:val="none" w:sz="0" w:space="0" w:color="auto"/>
      </w:divBdr>
    </w:div>
    <w:div w:id="746272828">
      <w:bodyDiv w:val="1"/>
      <w:marLeft w:val="0"/>
      <w:marRight w:val="0"/>
      <w:marTop w:val="0"/>
      <w:marBottom w:val="0"/>
      <w:divBdr>
        <w:top w:val="none" w:sz="0" w:space="0" w:color="auto"/>
        <w:left w:val="none" w:sz="0" w:space="0" w:color="auto"/>
        <w:bottom w:val="none" w:sz="0" w:space="0" w:color="auto"/>
        <w:right w:val="none" w:sz="0" w:space="0" w:color="auto"/>
      </w:divBdr>
    </w:div>
    <w:div w:id="767428403">
      <w:bodyDiv w:val="1"/>
      <w:marLeft w:val="0"/>
      <w:marRight w:val="0"/>
      <w:marTop w:val="0"/>
      <w:marBottom w:val="0"/>
      <w:divBdr>
        <w:top w:val="none" w:sz="0" w:space="0" w:color="auto"/>
        <w:left w:val="none" w:sz="0" w:space="0" w:color="auto"/>
        <w:bottom w:val="none" w:sz="0" w:space="0" w:color="auto"/>
        <w:right w:val="none" w:sz="0" w:space="0" w:color="auto"/>
      </w:divBdr>
    </w:div>
    <w:div w:id="835269835">
      <w:bodyDiv w:val="1"/>
      <w:marLeft w:val="0"/>
      <w:marRight w:val="0"/>
      <w:marTop w:val="0"/>
      <w:marBottom w:val="0"/>
      <w:divBdr>
        <w:top w:val="none" w:sz="0" w:space="0" w:color="auto"/>
        <w:left w:val="none" w:sz="0" w:space="0" w:color="auto"/>
        <w:bottom w:val="none" w:sz="0" w:space="0" w:color="auto"/>
        <w:right w:val="none" w:sz="0" w:space="0" w:color="auto"/>
      </w:divBdr>
    </w:div>
    <w:div w:id="942960525">
      <w:bodyDiv w:val="1"/>
      <w:marLeft w:val="0"/>
      <w:marRight w:val="0"/>
      <w:marTop w:val="0"/>
      <w:marBottom w:val="0"/>
      <w:divBdr>
        <w:top w:val="none" w:sz="0" w:space="0" w:color="auto"/>
        <w:left w:val="none" w:sz="0" w:space="0" w:color="auto"/>
        <w:bottom w:val="none" w:sz="0" w:space="0" w:color="auto"/>
        <w:right w:val="none" w:sz="0" w:space="0" w:color="auto"/>
      </w:divBdr>
    </w:div>
    <w:div w:id="953169759">
      <w:bodyDiv w:val="1"/>
      <w:marLeft w:val="0"/>
      <w:marRight w:val="0"/>
      <w:marTop w:val="0"/>
      <w:marBottom w:val="0"/>
      <w:divBdr>
        <w:top w:val="none" w:sz="0" w:space="0" w:color="auto"/>
        <w:left w:val="none" w:sz="0" w:space="0" w:color="auto"/>
        <w:bottom w:val="none" w:sz="0" w:space="0" w:color="auto"/>
        <w:right w:val="none" w:sz="0" w:space="0" w:color="auto"/>
      </w:divBdr>
    </w:div>
    <w:div w:id="1170175112">
      <w:bodyDiv w:val="1"/>
      <w:marLeft w:val="0"/>
      <w:marRight w:val="0"/>
      <w:marTop w:val="0"/>
      <w:marBottom w:val="0"/>
      <w:divBdr>
        <w:top w:val="none" w:sz="0" w:space="0" w:color="auto"/>
        <w:left w:val="none" w:sz="0" w:space="0" w:color="auto"/>
        <w:bottom w:val="none" w:sz="0" w:space="0" w:color="auto"/>
        <w:right w:val="none" w:sz="0" w:space="0" w:color="auto"/>
      </w:divBdr>
    </w:div>
    <w:div w:id="1181696544">
      <w:bodyDiv w:val="1"/>
      <w:marLeft w:val="0"/>
      <w:marRight w:val="0"/>
      <w:marTop w:val="0"/>
      <w:marBottom w:val="0"/>
      <w:divBdr>
        <w:top w:val="none" w:sz="0" w:space="0" w:color="auto"/>
        <w:left w:val="none" w:sz="0" w:space="0" w:color="auto"/>
        <w:bottom w:val="none" w:sz="0" w:space="0" w:color="auto"/>
        <w:right w:val="none" w:sz="0" w:space="0" w:color="auto"/>
      </w:divBdr>
    </w:div>
    <w:div w:id="1227883100">
      <w:bodyDiv w:val="1"/>
      <w:marLeft w:val="0"/>
      <w:marRight w:val="0"/>
      <w:marTop w:val="0"/>
      <w:marBottom w:val="0"/>
      <w:divBdr>
        <w:top w:val="none" w:sz="0" w:space="0" w:color="auto"/>
        <w:left w:val="none" w:sz="0" w:space="0" w:color="auto"/>
        <w:bottom w:val="none" w:sz="0" w:space="0" w:color="auto"/>
        <w:right w:val="none" w:sz="0" w:space="0" w:color="auto"/>
      </w:divBdr>
    </w:div>
    <w:div w:id="1330212394">
      <w:bodyDiv w:val="1"/>
      <w:marLeft w:val="0"/>
      <w:marRight w:val="0"/>
      <w:marTop w:val="0"/>
      <w:marBottom w:val="0"/>
      <w:divBdr>
        <w:top w:val="none" w:sz="0" w:space="0" w:color="auto"/>
        <w:left w:val="none" w:sz="0" w:space="0" w:color="auto"/>
        <w:bottom w:val="none" w:sz="0" w:space="0" w:color="auto"/>
        <w:right w:val="none" w:sz="0" w:space="0" w:color="auto"/>
      </w:divBdr>
    </w:div>
    <w:div w:id="1376544573">
      <w:bodyDiv w:val="1"/>
      <w:marLeft w:val="0"/>
      <w:marRight w:val="0"/>
      <w:marTop w:val="0"/>
      <w:marBottom w:val="0"/>
      <w:divBdr>
        <w:top w:val="none" w:sz="0" w:space="0" w:color="auto"/>
        <w:left w:val="none" w:sz="0" w:space="0" w:color="auto"/>
        <w:bottom w:val="none" w:sz="0" w:space="0" w:color="auto"/>
        <w:right w:val="none" w:sz="0" w:space="0" w:color="auto"/>
      </w:divBdr>
    </w:div>
    <w:div w:id="1406027720">
      <w:bodyDiv w:val="1"/>
      <w:marLeft w:val="0"/>
      <w:marRight w:val="0"/>
      <w:marTop w:val="0"/>
      <w:marBottom w:val="0"/>
      <w:divBdr>
        <w:top w:val="none" w:sz="0" w:space="0" w:color="auto"/>
        <w:left w:val="none" w:sz="0" w:space="0" w:color="auto"/>
        <w:bottom w:val="none" w:sz="0" w:space="0" w:color="auto"/>
        <w:right w:val="none" w:sz="0" w:space="0" w:color="auto"/>
      </w:divBdr>
    </w:div>
    <w:div w:id="1407529577">
      <w:bodyDiv w:val="1"/>
      <w:marLeft w:val="0"/>
      <w:marRight w:val="0"/>
      <w:marTop w:val="0"/>
      <w:marBottom w:val="0"/>
      <w:divBdr>
        <w:top w:val="none" w:sz="0" w:space="0" w:color="auto"/>
        <w:left w:val="none" w:sz="0" w:space="0" w:color="auto"/>
        <w:bottom w:val="none" w:sz="0" w:space="0" w:color="auto"/>
        <w:right w:val="none" w:sz="0" w:space="0" w:color="auto"/>
      </w:divBdr>
    </w:div>
    <w:div w:id="1435784715">
      <w:bodyDiv w:val="1"/>
      <w:marLeft w:val="0"/>
      <w:marRight w:val="0"/>
      <w:marTop w:val="0"/>
      <w:marBottom w:val="0"/>
      <w:divBdr>
        <w:top w:val="none" w:sz="0" w:space="0" w:color="auto"/>
        <w:left w:val="none" w:sz="0" w:space="0" w:color="auto"/>
        <w:bottom w:val="none" w:sz="0" w:space="0" w:color="auto"/>
        <w:right w:val="none" w:sz="0" w:space="0" w:color="auto"/>
      </w:divBdr>
    </w:div>
    <w:div w:id="1540585552">
      <w:bodyDiv w:val="1"/>
      <w:marLeft w:val="0"/>
      <w:marRight w:val="0"/>
      <w:marTop w:val="0"/>
      <w:marBottom w:val="0"/>
      <w:divBdr>
        <w:top w:val="none" w:sz="0" w:space="0" w:color="auto"/>
        <w:left w:val="none" w:sz="0" w:space="0" w:color="auto"/>
        <w:bottom w:val="none" w:sz="0" w:space="0" w:color="auto"/>
        <w:right w:val="none" w:sz="0" w:space="0" w:color="auto"/>
      </w:divBdr>
    </w:div>
    <w:div w:id="1556359226">
      <w:bodyDiv w:val="1"/>
      <w:marLeft w:val="0"/>
      <w:marRight w:val="0"/>
      <w:marTop w:val="0"/>
      <w:marBottom w:val="0"/>
      <w:divBdr>
        <w:top w:val="none" w:sz="0" w:space="0" w:color="auto"/>
        <w:left w:val="none" w:sz="0" w:space="0" w:color="auto"/>
        <w:bottom w:val="none" w:sz="0" w:space="0" w:color="auto"/>
        <w:right w:val="none" w:sz="0" w:space="0" w:color="auto"/>
      </w:divBdr>
    </w:div>
    <w:div w:id="1584413909">
      <w:bodyDiv w:val="1"/>
      <w:marLeft w:val="0"/>
      <w:marRight w:val="0"/>
      <w:marTop w:val="0"/>
      <w:marBottom w:val="0"/>
      <w:divBdr>
        <w:top w:val="none" w:sz="0" w:space="0" w:color="auto"/>
        <w:left w:val="none" w:sz="0" w:space="0" w:color="auto"/>
        <w:bottom w:val="none" w:sz="0" w:space="0" w:color="auto"/>
        <w:right w:val="none" w:sz="0" w:space="0" w:color="auto"/>
      </w:divBdr>
    </w:div>
    <w:div w:id="1662418424">
      <w:bodyDiv w:val="1"/>
      <w:marLeft w:val="0"/>
      <w:marRight w:val="0"/>
      <w:marTop w:val="0"/>
      <w:marBottom w:val="0"/>
      <w:divBdr>
        <w:top w:val="none" w:sz="0" w:space="0" w:color="auto"/>
        <w:left w:val="none" w:sz="0" w:space="0" w:color="auto"/>
        <w:bottom w:val="none" w:sz="0" w:space="0" w:color="auto"/>
        <w:right w:val="none" w:sz="0" w:space="0" w:color="auto"/>
      </w:divBdr>
    </w:div>
    <w:div w:id="1672374081">
      <w:bodyDiv w:val="1"/>
      <w:marLeft w:val="0"/>
      <w:marRight w:val="0"/>
      <w:marTop w:val="0"/>
      <w:marBottom w:val="0"/>
      <w:divBdr>
        <w:top w:val="none" w:sz="0" w:space="0" w:color="auto"/>
        <w:left w:val="none" w:sz="0" w:space="0" w:color="auto"/>
        <w:bottom w:val="none" w:sz="0" w:space="0" w:color="auto"/>
        <w:right w:val="none" w:sz="0" w:space="0" w:color="auto"/>
      </w:divBdr>
    </w:div>
    <w:div w:id="1719744070">
      <w:bodyDiv w:val="1"/>
      <w:marLeft w:val="0"/>
      <w:marRight w:val="0"/>
      <w:marTop w:val="0"/>
      <w:marBottom w:val="0"/>
      <w:divBdr>
        <w:top w:val="none" w:sz="0" w:space="0" w:color="auto"/>
        <w:left w:val="none" w:sz="0" w:space="0" w:color="auto"/>
        <w:bottom w:val="none" w:sz="0" w:space="0" w:color="auto"/>
        <w:right w:val="none" w:sz="0" w:space="0" w:color="auto"/>
      </w:divBdr>
    </w:div>
    <w:div w:id="1790930332">
      <w:bodyDiv w:val="1"/>
      <w:marLeft w:val="0"/>
      <w:marRight w:val="0"/>
      <w:marTop w:val="0"/>
      <w:marBottom w:val="0"/>
      <w:divBdr>
        <w:top w:val="none" w:sz="0" w:space="0" w:color="auto"/>
        <w:left w:val="none" w:sz="0" w:space="0" w:color="auto"/>
        <w:bottom w:val="none" w:sz="0" w:space="0" w:color="auto"/>
        <w:right w:val="none" w:sz="0" w:space="0" w:color="auto"/>
      </w:divBdr>
    </w:div>
    <w:div w:id="1880585470">
      <w:bodyDiv w:val="1"/>
      <w:marLeft w:val="0"/>
      <w:marRight w:val="0"/>
      <w:marTop w:val="0"/>
      <w:marBottom w:val="0"/>
      <w:divBdr>
        <w:top w:val="none" w:sz="0" w:space="0" w:color="auto"/>
        <w:left w:val="none" w:sz="0" w:space="0" w:color="auto"/>
        <w:bottom w:val="none" w:sz="0" w:space="0" w:color="auto"/>
        <w:right w:val="none" w:sz="0" w:space="0" w:color="auto"/>
      </w:divBdr>
    </w:div>
    <w:div w:id="1886332211">
      <w:bodyDiv w:val="1"/>
      <w:marLeft w:val="0"/>
      <w:marRight w:val="0"/>
      <w:marTop w:val="0"/>
      <w:marBottom w:val="0"/>
      <w:divBdr>
        <w:top w:val="none" w:sz="0" w:space="0" w:color="auto"/>
        <w:left w:val="none" w:sz="0" w:space="0" w:color="auto"/>
        <w:bottom w:val="none" w:sz="0" w:space="0" w:color="auto"/>
        <w:right w:val="none" w:sz="0" w:space="0" w:color="auto"/>
      </w:divBdr>
    </w:div>
    <w:div w:id="1924997071">
      <w:bodyDiv w:val="1"/>
      <w:marLeft w:val="0"/>
      <w:marRight w:val="0"/>
      <w:marTop w:val="0"/>
      <w:marBottom w:val="0"/>
      <w:divBdr>
        <w:top w:val="none" w:sz="0" w:space="0" w:color="auto"/>
        <w:left w:val="none" w:sz="0" w:space="0" w:color="auto"/>
        <w:bottom w:val="none" w:sz="0" w:space="0" w:color="auto"/>
        <w:right w:val="none" w:sz="0" w:space="0" w:color="auto"/>
      </w:divBdr>
    </w:div>
    <w:div w:id="1991591451">
      <w:bodyDiv w:val="1"/>
      <w:marLeft w:val="0"/>
      <w:marRight w:val="0"/>
      <w:marTop w:val="0"/>
      <w:marBottom w:val="0"/>
      <w:divBdr>
        <w:top w:val="none" w:sz="0" w:space="0" w:color="auto"/>
        <w:left w:val="none" w:sz="0" w:space="0" w:color="auto"/>
        <w:bottom w:val="none" w:sz="0" w:space="0" w:color="auto"/>
        <w:right w:val="none" w:sz="0" w:space="0" w:color="auto"/>
      </w:divBdr>
    </w:div>
    <w:div w:id="1995912112">
      <w:bodyDiv w:val="1"/>
      <w:marLeft w:val="0"/>
      <w:marRight w:val="0"/>
      <w:marTop w:val="0"/>
      <w:marBottom w:val="0"/>
      <w:divBdr>
        <w:top w:val="none" w:sz="0" w:space="0" w:color="auto"/>
        <w:left w:val="none" w:sz="0" w:space="0" w:color="auto"/>
        <w:bottom w:val="none" w:sz="0" w:space="0" w:color="auto"/>
        <w:right w:val="none" w:sz="0" w:space="0" w:color="auto"/>
      </w:divBdr>
    </w:div>
    <w:div w:id="211447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yperlink" Target="http://www.cqg.com" TargetMode="External"/><Relationship Id="rId7" Type="http://schemas.openxmlformats.org/officeDocument/2006/relationships/hyperlink" Target="https://www.bloomberg.com/news/articles/2018-02-06/volatility-jump-has-traders-asking-about-poison-pill-in-vix-note"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microsoft.com/office/2007/relationships/stylesWithEffects" Target="stylesWithEffect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styles" Target="styles.xml"/><Relationship Id="rId6" Type="http://schemas.openxmlformats.org/officeDocument/2006/relationships/image" Target="cid:image002.jpg@01D3425F.D5C3C660" TargetMode="Externa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image" Target="media/image1.jpeg"/><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hyperlink" Target="https://www.bloomberg.com/news/articles/2018-02-06/volatility-jump-has-traders-asking-about-poison-pill-in-vix-note"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Wienke</dc:creator>
  <cp:lastModifiedBy>D. Wienke</cp:lastModifiedBy>
  <cp:revision>4</cp:revision>
  <cp:lastPrinted>2017-10-11T12:40:00Z</cp:lastPrinted>
  <dcterms:created xsi:type="dcterms:W3CDTF">2018-02-06T12:52:00Z</dcterms:created>
  <dcterms:modified xsi:type="dcterms:W3CDTF">2018-02-09T20:41:00Z</dcterms:modified>
</cp:coreProperties>
</file>